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0BA0" w:rsidRPr="00AF1DBD" w:rsidRDefault="00E70BA0" w:rsidP="00E70BA0">
      <w:pPr>
        <w:tabs>
          <w:tab w:val="center" w:pos="4153"/>
          <w:tab w:val="right" w:pos="9923"/>
        </w:tabs>
        <w:spacing w:after="120" w:line="240" w:lineRule="auto"/>
        <w:jc w:val="both"/>
      </w:pPr>
      <w:r w:rsidRPr="00AF1DBD">
        <w:rPr>
          <w:rFonts w:eastAsia="Malgun Gothic"/>
          <w:b/>
          <w:bCs/>
          <w:sz w:val="28"/>
        </w:rPr>
        <w:t>3GPP TSG RAN5 Meeting #10</w:t>
      </w:r>
      <w:r w:rsidR="007B23EA">
        <w:rPr>
          <w:rFonts w:eastAsia="Malgun Gothic"/>
          <w:b/>
          <w:bCs/>
          <w:sz w:val="28"/>
        </w:rPr>
        <w:t>2</w:t>
      </w:r>
      <w:r w:rsidRPr="00AF1DBD">
        <w:rPr>
          <w:rFonts w:eastAsia="Malgun Gothic"/>
          <w:b/>
          <w:bCs/>
          <w:sz w:val="28"/>
        </w:rPr>
        <w:tab/>
        <w:t xml:space="preserve"> </w:t>
      </w:r>
      <w:r w:rsidRPr="00AF1DBD">
        <w:rPr>
          <w:rFonts w:eastAsia="Malgun Gothic"/>
          <w:b/>
          <w:bCs/>
          <w:sz w:val="28"/>
        </w:rPr>
        <w:tab/>
      </w:r>
      <w:r w:rsidR="00472DC6" w:rsidRPr="00472DC6">
        <w:rPr>
          <w:rFonts w:eastAsia="Malgun Gothic"/>
          <w:b/>
          <w:bCs/>
          <w:sz w:val="28"/>
        </w:rPr>
        <w:t>R5-241078</w:t>
      </w:r>
    </w:p>
    <w:p w:rsidR="00E70BA0" w:rsidRPr="00AF1DBD" w:rsidRDefault="007B23EA" w:rsidP="00E70BA0">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Athens, Greece</w:t>
      </w:r>
      <w:r w:rsidR="00E70BA0" w:rsidRPr="00AF1DBD">
        <w:rPr>
          <w:rFonts w:eastAsia="Malgun Gothic"/>
          <w:b/>
          <w:bCs/>
          <w:sz w:val="28"/>
          <w:szCs w:val="28"/>
          <w:lang w:eastAsia="ko-KR"/>
        </w:rPr>
        <w:t xml:space="preserve">, </w:t>
      </w:r>
      <w:r>
        <w:rPr>
          <w:rFonts w:eastAsia="Malgun Gothic"/>
          <w:b/>
          <w:bCs/>
          <w:sz w:val="28"/>
          <w:szCs w:val="28"/>
          <w:lang w:eastAsia="ko-KR"/>
        </w:rPr>
        <w:t>February 26</w:t>
      </w:r>
      <w:r w:rsidR="00E70BA0" w:rsidRPr="00AF1DBD">
        <w:rPr>
          <w:b/>
          <w:noProof/>
          <w:sz w:val="28"/>
          <w:szCs w:val="28"/>
          <w:vertAlign w:val="superscript"/>
        </w:rPr>
        <w:t>th</w:t>
      </w:r>
      <w:r w:rsidR="00E70BA0" w:rsidRPr="00AF1DBD">
        <w:rPr>
          <w:b/>
          <w:noProof/>
          <w:sz w:val="28"/>
          <w:szCs w:val="28"/>
        </w:rPr>
        <w:t xml:space="preserve"> – </w:t>
      </w:r>
      <w:r>
        <w:rPr>
          <w:b/>
          <w:noProof/>
          <w:sz w:val="28"/>
          <w:szCs w:val="28"/>
        </w:rPr>
        <w:t>March 1</w:t>
      </w:r>
      <w:r w:rsidRPr="007B23EA">
        <w:rPr>
          <w:b/>
          <w:noProof/>
          <w:sz w:val="28"/>
          <w:szCs w:val="28"/>
          <w:vertAlign w:val="superscript"/>
        </w:rPr>
        <w:t>st</w:t>
      </w:r>
      <w:r>
        <w:rPr>
          <w:b/>
          <w:noProof/>
          <w:sz w:val="28"/>
          <w:szCs w:val="28"/>
        </w:rPr>
        <w:t xml:space="preserve"> </w:t>
      </w:r>
      <w:r w:rsidR="00E70BA0" w:rsidRPr="00AF1DBD">
        <w:rPr>
          <w:b/>
          <w:noProof/>
          <w:sz w:val="28"/>
          <w:szCs w:val="28"/>
        </w:rPr>
        <w:t>202</w:t>
      </w:r>
      <w:r>
        <w:rPr>
          <w:b/>
          <w:noProof/>
          <w:sz w:val="28"/>
          <w:szCs w:val="28"/>
        </w:rPr>
        <w:t>4</w:t>
      </w:r>
    </w:p>
    <w:p w:rsidR="00430D8E" w:rsidRPr="00AF1DBD" w:rsidRDefault="00430D8E" w:rsidP="00430D8E">
      <w:pPr>
        <w:rPr>
          <w:bCs/>
        </w:rPr>
      </w:pPr>
      <w:r w:rsidRPr="00AF1DBD">
        <w:rPr>
          <w:b/>
        </w:rPr>
        <w:t>Source:</w:t>
      </w:r>
      <w:r w:rsidRPr="00AF1DBD">
        <w:rPr>
          <w:b/>
        </w:rPr>
        <w:tab/>
      </w:r>
      <w:r w:rsidRPr="00AF1DBD">
        <w:rPr>
          <w:b/>
        </w:rPr>
        <w:tab/>
      </w:r>
      <w:r w:rsidRPr="00AF1DBD">
        <w:t>Rohde &amp; Schwarz</w:t>
      </w:r>
    </w:p>
    <w:p w:rsidR="00430D8E" w:rsidRPr="00AF1DBD" w:rsidRDefault="00430D8E" w:rsidP="00430D8E">
      <w:pPr>
        <w:ind w:left="2160" w:hanging="2160"/>
      </w:pPr>
      <w:r w:rsidRPr="00AF1DBD">
        <w:rPr>
          <w:b/>
        </w:rPr>
        <w:t>Title:</w:t>
      </w:r>
      <w:r w:rsidRPr="00AF1DBD">
        <w:rPr>
          <w:b/>
        </w:rPr>
        <w:tab/>
      </w:r>
      <w:r w:rsidRPr="00AF1DBD">
        <w:rPr>
          <w:bCs/>
        </w:rPr>
        <w:t xml:space="preserve">On the </w:t>
      </w:r>
      <w:r w:rsidR="007B23EA">
        <w:rPr>
          <w:bCs/>
        </w:rPr>
        <w:t xml:space="preserve">QoQZ </w:t>
      </w:r>
      <w:r w:rsidRPr="00AF1DBD">
        <w:rPr>
          <w:bCs/>
        </w:rPr>
        <w:t xml:space="preserve">MU for </w:t>
      </w:r>
      <w:r w:rsidR="00184C45" w:rsidRPr="00AF1DBD">
        <w:rPr>
          <w:bCs/>
        </w:rPr>
        <w:t>n2</w:t>
      </w:r>
      <w:r w:rsidR="007B23EA">
        <w:rPr>
          <w:bCs/>
        </w:rPr>
        <w:t>62</w:t>
      </w:r>
      <w:r w:rsidR="00F2495A">
        <w:rPr>
          <w:bCs/>
        </w:rPr>
        <w:t xml:space="preserve"> and TRP</w:t>
      </w:r>
    </w:p>
    <w:p w:rsidR="00430D8E" w:rsidRPr="00AF1DBD" w:rsidRDefault="00430D8E" w:rsidP="00430D8E">
      <w:pPr>
        <w:rPr>
          <w:bCs/>
          <w:lang w:eastAsia="ja-JP"/>
        </w:rPr>
      </w:pPr>
      <w:r w:rsidRPr="00296609">
        <w:rPr>
          <w:b/>
        </w:rPr>
        <w:t>Agenda Item:</w:t>
      </w:r>
      <w:r w:rsidRPr="00296609">
        <w:tab/>
      </w:r>
      <w:r w:rsidRPr="00296609">
        <w:tab/>
      </w:r>
      <w:r w:rsidR="00347566" w:rsidRPr="00296609">
        <w:t>5.4.</w:t>
      </w:r>
      <w:r w:rsidR="00296609" w:rsidRPr="00296609">
        <w:t>20</w:t>
      </w:r>
    </w:p>
    <w:p w:rsidR="00430D8E" w:rsidRPr="00AF1DBD" w:rsidRDefault="00430D8E" w:rsidP="00430D8E">
      <w:pPr>
        <w:rPr>
          <w:sz w:val="18"/>
          <w:szCs w:val="18"/>
        </w:rPr>
      </w:pPr>
      <w:r w:rsidRPr="00AF1DBD">
        <w:rPr>
          <w:b/>
        </w:rPr>
        <w:t>Document for:</w:t>
      </w:r>
      <w:r w:rsidRPr="00AF1DBD">
        <w:tab/>
        <w:t>Discussion and Endorsement</w:t>
      </w:r>
    </w:p>
    <w:p w:rsidR="00B81FC7" w:rsidRPr="00AF1DBD" w:rsidRDefault="00B81FC7" w:rsidP="00B81FC7">
      <w:pPr>
        <w:pStyle w:val="Heading1"/>
        <w:rPr>
          <w:rFonts w:cs="Arial"/>
          <w:lang w:val="en-US"/>
        </w:rPr>
      </w:pPr>
      <w:r w:rsidRPr="00AF1DBD">
        <w:rPr>
          <w:rFonts w:cs="Arial"/>
          <w:lang w:val="en-US"/>
        </w:rPr>
        <w:t>Introduction</w:t>
      </w:r>
    </w:p>
    <w:p w:rsidR="007B23EA" w:rsidRDefault="000B7AEC" w:rsidP="00855AF8">
      <w:bookmarkStart w:id="0" w:name="OLE_LINK10"/>
      <w:bookmarkStart w:id="1" w:name="OLE_LINK11"/>
      <w:r w:rsidRPr="00AF1DBD">
        <w:t>In</w:t>
      </w:r>
      <w:r w:rsidR="007B23EA">
        <w:t xml:space="preserve"> RAN5#100, the following AP was created after the discussion based on </w:t>
      </w:r>
      <w:r w:rsidR="001D7C88">
        <w:fldChar w:fldCharType="begin"/>
      </w:r>
      <w:r w:rsidR="001D7C88">
        <w:instrText xml:space="preserve"> REF _Ref158382342 \r \h </w:instrText>
      </w:r>
      <w:r w:rsidR="001D7C88">
        <w:fldChar w:fldCharType="separate"/>
      </w:r>
      <w:r w:rsidR="00B430D4">
        <w:t>[1]</w:t>
      </w:r>
      <w:r w:rsidR="001D7C88">
        <w:fldChar w:fldCharType="end"/>
      </w:r>
      <w:r w:rsidR="007B23EA">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709"/>
        <w:gridCol w:w="2231"/>
        <w:gridCol w:w="1455"/>
        <w:gridCol w:w="1559"/>
        <w:gridCol w:w="1134"/>
        <w:gridCol w:w="855"/>
      </w:tblGrid>
      <w:tr w:rsidR="007B23EA" w:rsidTr="007B23EA">
        <w:trPr>
          <w:cantSplit/>
          <w:trHeight w:val="256"/>
          <w:tblHeader/>
          <w:jc w:val="center"/>
        </w:trPr>
        <w:tc>
          <w:tcPr>
            <w:tcW w:w="112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7B23EA" w:rsidRDefault="007B23EA" w:rsidP="00F808E2">
            <w:pPr>
              <w:keepNext/>
              <w:jc w:val="center"/>
              <w:rPr>
                <w:b/>
                <w:bCs/>
                <w:sz w:val="18"/>
                <w:szCs w:val="18"/>
              </w:rPr>
            </w:pPr>
            <w:r>
              <w:rPr>
                <w:b/>
                <w:bCs/>
                <w:sz w:val="18"/>
                <w:szCs w:val="18"/>
              </w:rPr>
              <w:t>Action ID</w:t>
            </w:r>
          </w:p>
        </w:tc>
        <w:tc>
          <w:tcPr>
            <w:tcW w:w="7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7B23EA" w:rsidRDefault="007B23EA" w:rsidP="00F808E2">
            <w:pPr>
              <w:keepNext/>
              <w:jc w:val="center"/>
              <w:rPr>
                <w:b/>
                <w:bCs/>
                <w:sz w:val="18"/>
                <w:szCs w:val="18"/>
              </w:rPr>
            </w:pPr>
            <w:r>
              <w:rPr>
                <w:b/>
                <w:bCs/>
                <w:color w:val="000000"/>
                <w:sz w:val="18"/>
                <w:szCs w:val="18"/>
              </w:rPr>
              <w:t>sWG</w:t>
            </w:r>
          </w:p>
        </w:tc>
        <w:tc>
          <w:tcPr>
            <w:tcW w:w="2231"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7B23EA" w:rsidRDefault="007B23EA" w:rsidP="00F808E2">
            <w:pPr>
              <w:keepNext/>
              <w:jc w:val="center"/>
              <w:rPr>
                <w:b/>
                <w:bCs/>
                <w:sz w:val="18"/>
                <w:szCs w:val="18"/>
              </w:rPr>
            </w:pPr>
            <w:r>
              <w:rPr>
                <w:b/>
                <w:bCs/>
                <w:color w:val="000000"/>
                <w:sz w:val="18"/>
                <w:szCs w:val="18"/>
              </w:rPr>
              <w:t>Action</w:t>
            </w:r>
          </w:p>
        </w:tc>
        <w:tc>
          <w:tcPr>
            <w:tcW w:w="145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7B23EA" w:rsidRDefault="007B23EA" w:rsidP="00F808E2">
            <w:pPr>
              <w:keepNext/>
              <w:jc w:val="center"/>
              <w:rPr>
                <w:b/>
                <w:bCs/>
                <w:sz w:val="18"/>
                <w:szCs w:val="18"/>
              </w:rPr>
            </w:pPr>
            <w:r>
              <w:rPr>
                <w:b/>
                <w:bCs/>
                <w:color w:val="000000"/>
                <w:sz w:val="18"/>
                <w:szCs w:val="18"/>
              </w:rPr>
              <w:t>Responsible</w:t>
            </w:r>
          </w:p>
        </w:tc>
        <w:tc>
          <w:tcPr>
            <w:tcW w:w="155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7B23EA" w:rsidRDefault="007B23EA" w:rsidP="00F808E2">
            <w:pPr>
              <w:keepNext/>
              <w:jc w:val="center"/>
              <w:rPr>
                <w:b/>
                <w:bCs/>
                <w:sz w:val="18"/>
                <w:szCs w:val="18"/>
              </w:rPr>
            </w:pPr>
            <w:r>
              <w:rPr>
                <w:b/>
                <w:bCs/>
                <w:color w:val="000000"/>
                <w:sz w:val="18"/>
                <w:szCs w:val="18"/>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7B23EA" w:rsidRDefault="007B23EA" w:rsidP="00F808E2">
            <w:pPr>
              <w:keepNext/>
              <w:jc w:val="center"/>
              <w:rPr>
                <w:b/>
                <w:bCs/>
                <w:sz w:val="18"/>
                <w:szCs w:val="18"/>
              </w:rPr>
            </w:pPr>
            <w:r>
              <w:rPr>
                <w:b/>
                <w:bCs/>
                <w:color w:val="000000"/>
                <w:sz w:val="18"/>
                <w:szCs w:val="18"/>
              </w:rPr>
              <w:t>Deadline</w:t>
            </w:r>
          </w:p>
        </w:tc>
        <w:tc>
          <w:tcPr>
            <w:tcW w:w="85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7B23EA" w:rsidRDefault="007B23EA" w:rsidP="00F808E2">
            <w:pPr>
              <w:keepNext/>
              <w:jc w:val="center"/>
              <w:rPr>
                <w:b/>
                <w:bCs/>
                <w:sz w:val="18"/>
                <w:szCs w:val="18"/>
              </w:rPr>
            </w:pPr>
            <w:r>
              <w:rPr>
                <w:b/>
                <w:bCs/>
                <w:color w:val="000000"/>
                <w:sz w:val="18"/>
                <w:szCs w:val="18"/>
              </w:rPr>
              <w:t>Status</w:t>
            </w:r>
          </w:p>
        </w:tc>
      </w:tr>
      <w:tr w:rsidR="007B23EA" w:rsidTr="007B23EA">
        <w:trPr>
          <w:cantSplit/>
          <w:trHeight w:val="512"/>
          <w:jc w:val="center"/>
        </w:trPr>
        <w:tc>
          <w:tcPr>
            <w:tcW w:w="1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23EA" w:rsidRDefault="007B23EA" w:rsidP="00F808E2">
            <w:pPr>
              <w:keepNext/>
              <w:rPr>
                <w:sz w:val="18"/>
                <w:szCs w:val="18"/>
              </w:rPr>
            </w:pPr>
            <w:r>
              <w:rPr>
                <w:sz w:val="18"/>
                <w:szCs w:val="18"/>
              </w:rPr>
              <w:t>AP#100.21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23EA" w:rsidRDefault="007B23EA" w:rsidP="00F808E2">
            <w:pPr>
              <w:keepNext/>
              <w:rPr>
                <w:sz w:val="18"/>
                <w:szCs w:val="18"/>
              </w:rPr>
            </w:pPr>
            <w:r>
              <w:rPr>
                <w:sz w:val="18"/>
                <w:szCs w:val="18"/>
              </w:rPr>
              <w:t>RF</w:t>
            </w:r>
          </w:p>
        </w:tc>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23EA" w:rsidRDefault="007B23EA" w:rsidP="00F808E2">
            <w:pPr>
              <w:keepNext/>
              <w:rPr>
                <w:sz w:val="18"/>
                <w:szCs w:val="18"/>
              </w:rPr>
            </w:pPr>
            <w:r>
              <w:rPr>
                <w:sz w:val="18"/>
                <w:szCs w:val="18"/>
              </w:rPr>
              <w:t>System vendors to provide QoQZ MU measurements for EIRP/EIS and TRP metric for NTC and ETC (including FR2d)</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23EA" w:rsidRDefault="007B23EA" w:rsidP="00F808E2">
            <w:pPr>
              <w:keepNext/>
              <w:rPr>
                <w:sz w:val="18"/>
                <w:szCs w:val="18"/>
              </w:rPr>
            </w:pPr>
            <w:r>
              <w:rPr>
                <w:sz w:val="18"/>
                <w:szCs w:val="18"/>
              </w:rPr>
              <w:t>KEYS, R&amp;S, Anritsu</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23EA" w:rsidRDefault="007B23EA" w:rsidP="00F808E2">
            <w:pPr>
              <w:keepNext/>
              <w:spacing w:after="0"/>
              <w:rPr>
                <w:sz w:val="18"/>
                <w:szCs w:val="18"/>
              </w:rPr>
            </w:pPr>
            <w:r>
              <w:rPr>
                <w:sz w:val="18"/>
                <w:szCs w:val="18"/>
              </w:rPr>
              <w:t>R5-235754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23EA" w:rsidRDefault="007B23EA" w:rsidP="00F808E2">
            <w:pPr>
              <w:keepNext/>
              <w:rPr>
                <w:sz w:val="18"/>
                <w:szCs w:val="18"/>
              </w:rPr>
            </w:pPr>
            <w:r>
              <w:rPr>
                <w:sz w:val="18"/>
                <w:szCs w:val="18"/>
              </w:rPr>
              <w:t>RAN5#102</w:t>
            </w:r>
          </w:p>
        </w:tc>
        <w:tc>
          <w:tcPr>
            <w:tcW w:w="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23EA" w:rsidRDefault="007B23EA" w:rsidP="00F808E2">
            <w:pPr>
              <w:keepNext/>
              <w:rPr>
                <w:sz w:val="18"/>
                <w:szCs w:val="18"/>
              </w:rPr>
            </w:pPr>
            <w:r>
              <w:rPr>
                <w:sz w:val="18"/>
                <w:szCs w:val="18"/>
              </w:rPr>
              <w:t>Open</w:t>
            </w:r>
          </w:p>
        </w:tc>
      </w:tr>
    </w:tbl>
    <w:p w:rsidR="00F2495A" w:rsidRDefault="00F2495A" w:rsidP="00855AF8"/>
    <w:p w:rsidR="00B5766A" w:rsidRPr="00AF1DBD" w:rsidRDefault="0029224C" w:rsidP="00855AF8">
      <w:r w:rsidRPr="00F2495A">
        <w:t xml:space="preserve">We provide </w:t>
      </w:r>
      <w:r w:rsidR="00F2495A" w:rsidRPr="00F2495A">
        <w:t xml:space="preserve">feedback </w:t>
      </w:r>
      <w:r w:rsidRPr="00F2495A">
        <w:t xml:space="preserve">in this contribution </w:t>
      </w:r>
      <w:r w:rsidR="00F2495A" w:rsidRPr="00F2495A">
        <w:t>as requested in AP#100.21.</w:t>
      </w:r>
    </w:p>
    <w:p w:rsidR="00FC45FA" w:rsidRDefault="00150BD1" w:rsidP="00FC45FA">
      <w:pPr>
        <w:pStyle w:val="Heading1"/>
        <w:rPr>
          <w:lang w:val="en-US"/>
        </w:rPr>
      </w:pPr>
      <w:r>
        <w:rPr>
          <w:lang w:val="en-US"/>
        </w:rPr>
        <w:t xml:space="preserve">QoQZ </w:t>
      </w:r>
      <w:r w:rsidR="00F2495A">
        <w:rPr>
          <w:lang w:val="en-US"/>
        </w:rPr>
        <w:t xml:space="preserve">NTC </w:t>
      </w:r>
      <w:r>
        <w:rPr>
          <w:lang w:val="en-US"/>
        </w:rPr>
        <w:t>results</w:t>
      </w:r>
    </w:p>
    <w:p w:rsidR="00150BD1" w:rsidRDefault="009E1B54" w:rsidP="00150BD1">
      <w:pPr>
        <w:rPr>
          <w:lang w:val="en-GB" w:eastAsia="en-US"/>
        </w:rPr>
      </w:pPr>
      <w:r>
        <w:rPr>
          <w:lang w:val="en-GB" w:eastAsia="en-US"/>
        </w:rPr>
        <w:t>The results provided here are based on an EIRP and TRP QoQZ campaign with 238 measurement points (assuming re-positioning approach) from the combination of reference points (P1 to P7), reference antenna orientations (</w:t>
      </w:r>
      <w:r w:rsidRPr="003E2348">
        <w:rPr>
          <w:rFonts w:ascii="Symbol" w:hAnsi="Symbol"/>
          <w:i/>
        </w:rPr>
        <w:t></w:t>
      </w:r>
      <w:r>
        <w:rPr>
          <w:rFonts w:ascii="Symbol" w:hAnsi="Symbol"/>
        </w:rPr>
        <w:t></w:t>
      </w:r>
      <w:r w:rsidRPr="003E2348">
        <w:t>and</w:t>
      </w:r>
      <w:r>
        <w:rPr>
          <w:rFonts w:ascii="Symbol" w:hAnsi="Symbol"/>
        </w:rPr>
        <w:t></w:t>
      </w:r>
      <w:r w:rsidRPr="009A4211">
        <w:rPr>
          <w:rFonts w:ascii="Symbol" w:hAnsi="Symbol"/>
          <w:i/>
        </w:rPr>
        <w:t></w:t>
      </w:r>
      <w:r w:rsidRPr="003E2348">
        <w:t>)</w:t>
      </w:r>
      <w:r>
        <w:rPr>
          <w:lang w:val="en-GB" w:eastAsia="en-US"/>
        </w:rPr>
        <w:t xml:space="preserve"> and reference antenna polarization (</w:t>
      </w:r>
      <w:r w:rsidRPr="009A4211">
        <w:rPr>
          <w:rFonts w:ascii="Symbol" w:hAnsi="Symbol"/>
          <w:i/>
        </w:rPr>
        <w:t></w:t>
      </w:r>
      <w:r w:rsidRPr="009A4211">
        <w:rPr>
          <w:vertAlign w:val="subscript"/>
        </w:rPr>
        <w:t>pol</w:t>
      </w:r>
      <w:r w:rsidRPr="003E2348">
        <w:t>)</w:t>
      </w:r>
      <w:r>
        <w:rPr>
          <w:lang w:val="en-GB" w:eastAsia="en-US"/>
        </w:rPr>
        <w:t xml:space="preserve">. </w:t>
      </w:r>
      <w:r w:rsidRPr="00C91832">
        <w:rPr>
          <w:lang w:val="en-GB" w:eastAsia="en-US"/>
        </w:rPr>
        <w:t>No ETC enclosure was used for this measurement campaign.</w:t>
      </w:r>
      <w:r>
        <w:rPr>
          <w:lang w:val="en-GB" w:eastAsia="en-US"/>
        </w:rPr>
        <w:t xml:space="preserve"> The reference points are as defined in clause O.2.5 of TS 38.521-2 </w:t>
      </w:r>
      <w:r w:rsidR="001D7C88">
        <w:rPr>
          <w:lang w:val="en-GB" w:eastAsia="en-US"/>
        </w:rPr>
        <w:fldChar w:fldCharType="begin"/>
      </w:r>
      <w:r w:rsidR="001D7C88">
        <w:rPr>
          <w:lang w:val="en-GB" w:eastAsia="en-US"/>
        </w:rPr>
        <w:instrText xml:space="preserve"> REF _Ref158382354 \r \h </w:instrText>
      </w:r>
      <w:r w:rsidR="001D7C88">
        <w:rPr>
          <w:lang w:val="en-GB" w:eastAsia="en-US"/>
        </w:rPr>
      </w:r>
      <w:r w:rsidR="001D7C88">
        <w:rPr>
          <w:lang w:val="en-GB" w:eastAsia="en-US"/>
        </w:rPr>
        <w:fldChar w:fldCharType="separate"/>
      </w:r>
      <w:r w:rsidR="00B430D4">
        <w:rPr>
          <w:lang w:val="en-GB" w:eastAsia="en-US"/>
        </w:rPr>
        <w:t>[2]</w:t>
      </w:r>
      <w:r w:rsidR="001D7C88">
        <w:rPr>
          <w:lang w:val="en-GB" w:eastAsia="en-US"/>
        </w:rPr>
        <w:fldChar w:fldCharType="end"/>
      </w:r>
      <w:r>
        <w:rPr>
          <w:lang w:val="en-GB" w:eastAsia="en-US"/>
        </w:rPr>
        <w:t xml:space="preserve"> with the following coordinates:</w:t>
      </w:r>
    </w:p>
    <w:p w:rsidR="009E1B54" w:rsidRDefault="009E1B54" w:rsidP="009E1B54">
      <w:pPr>
        <w:pStyle w:val="Caption"/>
      </w:pPr>
      <w:r w:rsidRPr="003E2348">
        <w:t xml:space="preserve">Table </w:t>
      </w:r>
      <w:r w:rsidRPr="003E2348">
        <w:fldChar w:fldCharType="begin"/>
      </w:r>
      <w:r w:rsidRPr="003E2348">
        <w:instrText xml:space="preserve"> STYLEREF 1 \s </w:instrText>
      </w:r>
      <w:r w:rsidRPr="003E2348">
        <w:fldChar w:fldCharType="separate"/>
      </w:r>
      <w:r w:rsidR="00B430D4">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B430D4">
        <w:rPr>
          <w:noProof/>
        </w:rPr>
        <w:t>1</w:t>
      </w:r>
      <w:r w:rsidRPr="003E2348">
        <w:fldChar w:fldCharType="end"/>
      </w:r>
      <w:r w:rsidRPr="003E2348">
        <w:t xml:space="preserve">: </w:t>
      </w:r>
      <w:r>
        <w:t>AUT reference points coordinates for 40cm QZ</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9E1B54" w:rsidRPr="009A4211" w:rsidTr="00F808E2">
        <w:trPr>
          <w:cantSplit/>
          <w:jc w:val="center"/>
        </w:trPr>
        <w:tc>
          <w:tcPr>
            <w:tcW w:w="945" w:type="dxa"/>
            <w:shd w:val="clear" w:color="auto" w:fill="E0E0E0"/>
            <w:vAlign w:val="center"/>
          </w:tcPr>
          <w:p w:rsidR="009E1B54" w:rsidRPr="009A4211" w:rsidRDefault="009E1B54" w:rsidP="00F808E2">
            <w:pPr>
              <w:pStyle w:val="TAH"/>
              <w:rPr>
                <w:rFonts w:cs="Arial"/>
                <w:lang w:eastAsia="en-US"/>
              </w:rPr>
            </w:pPr>
            <w:r w:rsidRPr="009A4211">
              <w:rPr>
                <w:rFonts w:cs="Arial"/>
                <w:lang w:eastAsia="en-US"/>
              </w:rPr>
              <w:t>Position</w:t>
            </w:r>
          </w:p>
        </w:tc>
        <w:tc>
          <w:tcPr>
            <w:tcW w:w="1152" w:type="dxa"/>
            <w:shd w:val="clear" w:color="auto" w:fill="E0E0E0"/>
            <w:vAlign w:val="center"/>
          </w:tcPr>
          <w:p w:rsidR="009E1B54" w:rsidRPr="009A4211" w:rsidRDefault="009E1B54" w:rsidP="00F808E2">
            <w:pPr>
              <w:pStyle w:val="TAH"/>
              <w:rPr>
                <w:rFonts w:ascii="Times New Roman" w:hAnsi="Times New Roman"/>
                <w:i/>
                <w:lang w:eastAsia="en-US"/>
              </w:rPr>
            </w:pPr>
            <w:r w:rsidRPr="009A4211">
              <w:rPr>
                <w:rFonts w:ascii="Times New Roman" w:hAnsi="Times New Roman"/>
                <w:i/>
                <w:lang w:eastAsia="en-US"/>
              </w:rPr>
              <w:t>x</w:t>
            </w:r>
          </w:p>
        </w:tc>
        <w:tc>
          <w:tcPr>
            <w:tcW w:w="1152" w:type="dxa"/>
            <w:shd w:val="clear" w:color="auto" w:fill="E0E0E0"/>
            <w:vAlign w:val="center"/>
          </w:tcPr>
          <w:p w:rsidR="009E1B54" w:rsidRPr="009A4211" w:rsidRDefault="009E1B54" w:rsidP="00F808E2">
            <w:pPr>
              <w:pStyle w:val="TAH"/>
              <w:rPr>
                <w:rFonts w:ascii="Times New Roman" w:hAnsi="Times New Roman"/>
                <w:i/>
                <w:lang w:eastAsia="en-US"/>
              </w:rPr>
            </w:pPr>
            <w:r w:rsidRPr="009A4211">
              <w:rPr>
                <w:rFonts w:ascii="Times New Roman" w:hAnsi="Times New Roman"/>
                <w:i/>
                <w:lang w:eastAsia="en-US"/>
              </w:rPr>
              <w:t>y</w:t>
            </w:r>
          </w:p>
        </w:tc>
        <w:tc>
          <w:tcPr>
            <w:tcW w:w="1152" w:type="dxa"/>
            <w:shd w:val="clear" w:color="auto" w:fill="E0E0E0"/>
            <w:vAlign w:val="center"/>
          </w:tcPr>
          <w:p w:rsidR="009E1B54" w:rsidRPr="009A4211" w:rsidRDefault="009E1B54" w:rsidP="00F808E2">
            <w:pPr>
              <w:pStyle w:val="TAH"/>
              <w:rPr>
                <w:rFonts w:ascii="Times New Roman" w:hAnsi="Times New Roman"/>
                <w:i/>
                <w:lang w:eastAsia="en-US"/>
              </w:rPr>
            </w:pPr>
            <w:r w:rsidRPr="009A4211">
              <w:rPr>
                <w:rFonts w:ascii="Times New Roman" w:hAnsi="Times New Roman"/>
                <w:i/>
                <w:lang w:eastAsia="en-US"/>
              </w:rPr>
              <w:t>z</w:t>
            </w:r>
          </w:p>
        </w:tc>
      </w:tr>
      <w:tr w:rsidR="009E1B54" w:rsidRPr="009A4211" w:rsidTr="00F808E2">
        <w:trPr>
          <w:cantSplit/>
          <w:jc w:val="center"/>
        </w:trPr>
        <w:tc>
          <w:tcPr>
            <w:tcW w:w="945" w:type="dxa"/>
            <w:shd w:val="clear" w:color="auto" w:fill="auto"/>
            <w:vAlign w:val="center"/>
          </w:tcPr>
          <w:p w:rsidR="009E1B54" w:rsidRPr="009A4211" w:rsidRDefault="009E1B54" w:rsidP="00F808E2">
            <w:pPr>
              <w:pStyle w:val="TAC"/>
              <w:rPr>
                <w:rFonts w:cs="Arial"/>
                <w:lang w:eastAsia="en-US"/>
              </w:rPr>
            </w:pPr>
            <w:r w:rsidRPr="009A4211">
              <w:rPr>
                <w:rFonts w:cs="Arial"/>
                <w:lang w:eastAsia="en-US"/>
              </w:rPr>
              <w:t>P1</w:t>
            </w:r>
          </w:p>
        </w:tc>
        <w:tc>
          <w:tcPr>
            <w:tcW w:w="1152" w:type="dxa"/>
            <w:shd w:val="clear" w:color="auto" w:fill="auto"/>
            <w:vAlign w:val="center"/>
          </w:tcPr>
          <w:p w:rsidR="009E1B54" w:rsidRPr="009A4211" w:rsidRDefault="009E1B54" w:rsidP="00F808E2">
            <w:pPr>
              <w:pStyle w:val="TAC"/>
              <w:rPr>
                <w:rFonts w:cs="Arial"/>
                <w:lang w:eastAsia="en-US"/>
              </w:rPr>
            </w:pPr>
            <w:r w:rsidRPr="009A4211">
              <w:rPr>
                <w:rFonts w:cs="Arial"/>
                <w:lang w:eastAsia="en-US"/>
              </w:rPr>
              <w:t>0</w:t>
            </w:r>
          </w:p>
        </w:tc>
        <w:tc>
          <w:tcPr>
            <w:tcW w:w="1152" w:type="dxa"/>
            <w:vAlign w:val="center"/>
          </w:tcPr>
          <w:p w:rsidR="009E1B54" w:rsidRPr="009A4211" w:rsidRDefault="009E1B54" w:rsidP="00F808E2">
            <w:pPr>
              <w:pStyle w:val="TAC"/>
              <w:rPr>
                <w:rFonts w:cs="Arial"/>
                <w:lang w:eastAsia="en-US"/>
              </w:rPr>
            </w:pPr>
            <w:r w:rsidRPr="009A4211">
              <w:rPr>
                <w:rFonts w:cs="Arial"/>
                <w:lang w:eastAsia="en-US"/>
              </w:rPr>
              <w:t>0</w:t>
            </w:r>
          </w:p>
        </w:tc>
        <w:tc>
          <w:tcPr>
            <w:tcW w:w="1152" w:type="dxa"/>
            <w:vAlign w:val="center"/>
          </w:tcPr>
          <w:p w:rsidR="009E1B54" w:rsidRPr="009A4211" w:rsidRDefault="009E1B54" w:rsidP="00F808E2">
            <w:pPr>
              <w:pStyle w:val="TAC"/>
              <w:rPr>
                <w:rFonts w:cs="Arial"/>
                <w:lang w:eastAsia="en-US"/>
              </w:rPr>
            </w:pPr>
            <w:r w:rsidRPr="009A4211">
              <w:rPr>
                <w:rFonts w:cs="Arial"/>
                <w:lang w:eastAsia="en-US"/>
              </w:rPr>
              <w:t>0</w:t>
            </w:r>
          </w:p>
        </w:tc>
      </w:tr>
      <w:tr w:rsidR="009E1B54" w:rsidRPr="009A4211" w:rsidTr="00F808E2">
        <w:trPr>
          <w:cantSplit/>
          <w:jc w:val="center"/>
        </w:trPr>
        <w:tc>
          <w:tcPr>
            <w:tcW w:w="945" w:type="dxa"/>
            <w:shd w:val="clear" w:color="auto" w:fill="auto"/>
            <w:vAlign w:val="center"/>
          </w:tcPr>
          <w:p w:rsidR="009E1B54" w:rsidRPr="009A4211" w:rsidRDefault="009E1B54" w:rsidP="00F808E2">
            <w:pPr>
              <w:pStyle w:val="TAC"/>
              <w:rPr>
                <w:rFonts w:cs="Arial"/>
                <w:lang w:eastAsia="en-US"/>
              </w:rPr>
            </w:pPr>
            <w:r w:rsidRPr="009A4211">
              <w:rPr>
                <w:rFonts w:cs="Arial"/>
                <w:lang w:eastAsia="en-US"/>
              </w:rPr>
              <w:t>P2</w:t>
            </w:r>
          </w:p>
        </w:tc>
        <w:tc>
          <w:tcPr>
            <w:tcW w:w="1152" w:type="dxa"/>
            <w:shd w:val="clear" w:color="auto" w:fill="auto"/>
            <w:vAlign w:val="center"/>
          </w:tcPr>
          <w:p w:rsidR="009E1B54" w:rsidRPr="003E2348" w:rsidRDefault="009E1B54" w:rsidP="00F808E2">
            <w:pPr>
              <w:pStyle w:val="TAC"/>
              <w:rPr>
                <w:rFonts w:ascii="Times New Roman" w:hAnsi="Times New Roman"/>
                <w:i/>
                <w:lang w:val="es-ES" w:eastAsia="en-US"/>
              </w:rPr>
            </w:pPr>
            <w:r>
              <w:rPr>
                <w:rFonts w:ascii="Times New Roman" w:hAnsi="Times New Roman"/>
                <w:i/>
                <w:lang w:val="es-ES" w:eastAsia="en-US"/>
              </w:rPr>
              <w:t>20 cm</w:t>
            </w:r>
          </w:p>
        </w:tc>
        <w:tc>
          <w:tcPr>
            <w:tcW w:w="1152" w:type="dxa"/>
            <w:vAlign w:val="center"/>
          </w:tcPr>
          <w:p w:rsidR="009E1B54" w:rsidRPr="009A4211" w:rsidRDefault="009E1B54" w:rsidP="00F808E2">
            <w:pPr>
              <w:pStyle w:val="TAC"/>
              <w:rPr>
                <w:rFonts w:cs="Arial"/>
                <w:lang w:eastAsia="en-US"/>
              </w:rPr>
            </w:pPr>
            <w:r w:rsidRPr="009A4211">
              <w:rPr>
                <w:rFonts w:cs="Arial"/>
                <w:lang w:eastAsia="en-US"/>
              </w:rPr>
              <w:t>0</w:t>
            </w:r>
          </w:p>
        </w:tc>
        <w:tc>
          <w:tcPr>
            <w:tcW w:w="1152" w:type="dxa"/>
            <w:vAlign w:val="center"/>
          </w:tcPr>
          <w:p w:rsidR="009E1B54" w:rsidRPr="009A4211" w:rsidRDefault="009E1B54" w:rsidP="00F808E2">
            <w:pPr>
              <w:pStyle w:val="TAC"/>
              <w:rPr>
                <w:rFonts w:cs="Arial"/>
                <w:lang w:eastAsia="en-US"/>
              </w:rPr>
            </w:pPr>
            <w:r w:rsidRPr="009A4211">
              <w:rPr>
                <w:rFonts w:cs="Arial"/>
                <w:lang w:eastAsia="en-US"/>
              </w:rPr>
              <w:t>0</w:t>
            </w:r>
          </w:p>
        </w:tc>
      </w:tr>
      <w:tr w:rsidR="009E1B54" w:rsidRPr="009A4211" w:rsidTr="00F808E2">
        <w:trPr>
          <w:cantSplit/>
          <w:jc w:val="center"/>
        </w:trPr>
        <w:tc>
          <w:tcPr>
            <w:tcW w:w="945" w:type="dxa"/>
            <w:shd w:val="clear" w:color="auto" w:fill="auto"/>
            <w:vAlign w:val="center"/>
          </w:tcPr>
          <w:p w:rsidR="009E1B54" w:rsidRPr="009A4211" w:rsidRDefault="009E1B54" w:rsidP="00F808E2">
            <w:pPr>
              <w:pStyle w:val="TAC"/>
              <w:rPr>
                <w:rFonts w:cs="Arial"/>
                <w:lang w:eastAsia="en-US"/>
              </w:rPr>
            </w:pPr>
            <w:r w:rsidRPr="009A4211">
              <w:rPr>
                <w:rFonts w:cs="Arial"/>
                <w:lang w:eastAsia="en-US"/>
              </w:rPr>
              <w:t>P3</w:t>
            </w:r>
          </w:p>
        </w:tc>
        <w:tc>
          <w:tcPr>
            <w:tcW w:w="1152" w:type="dxa"/>
            <w:shd w:val="clear" w:color="auto" w:fill="auto"/>
            <w:vAlign w:val="center"/>
          </w:tcPr>
          <w:p w:rsidR="009E1B54" w:rsidRPr="003E2348" w:rsidRDefault="009E1B54" w:rsidP="00F808E2">
            <w:pPr>
              <w:pStyle w:val="TAC"/>
              <w:rPr>
                <w:rFonts w:ascii="Times New Roman" w:hAnsi="Times New Roman"/>
                <w:i/>
                <w:lang w:val="es-ES" w:eastAsia="en-US"/>
              </w:rPr>
            </w:pPr>
            <w:r w:rsidRPr="009A4211">
              <w:rPr>
                <w:rFonts w:ascii="Times New Roman" w:hAnsi="Times New Roman"/>
                <w:i/>
                <w:lang w:eastAsia="en-US"/>
              </w:rPr>
              <w:t>-</w:t>
            </w:r>
            <w:r>
              <w:rPr>
                <w:rFonts w:ascii="Times New Roman" w:hAnsi="Times New Roman"/>
                <w:i/>
                <w:lang w:val="es-ES" w:eastAsia="en-US"/>
              </w:rPr>
              <w:t xml:space="preserve"> 20 cm</w:t>
            </w:r>
          </w:p>
        </w:tc>
        <w:tc>
          <w:tcPr>
            <w:tcW w:w="1152" w:type="dxa"/>
            <w:vAlign w:val="center"/>
          </w:tcPr>
          <w:p w:rsidR="009E1B54" w:rsidRPr="009A4211" w:rsidRDefault="009E1B54" w:rsidP="00F808E2">
            <w:pPr>
              <w:pStyle w:val="TAC"/>
              <w:rPr>
                <w:rFonts w:cs="Arial"/>
                <w:lang w:eastAsia="en-US"/>
              </w:rPr>
            </w:pPr>
            <w:r w:rsidRPr="009A4211">
              <w:rPr>
                <w:rFonts w:cs="Arial"/>
                <w:lang w:eastAsia="en-US"/>
              </w:rPr>
              <w:t>0</w:t>
            </w:r>
          </w:p>
        </w:tc>
        <w:tc>
          <w:tcPr>
            <w:tcW w:w="1152" w:type="dxa"/>
            <w:vAlign w:val="center"/>
          </w:tcPr>
          <w:p w:rsidR="009E1B54" w:rsidRPr="009A4211" w:rsidRDefault="009E1B54" w:rsidP="00F808E2">
            <w:pPr>
              <w:pStyle w:val="TAC"/>
              <w:rPr>
                <w:rFonts w:cs="Arial"/>
                <w:lang w:eastAsia="en-US"/>
              </w:rPr>
            </w:pPr>
            <w:r w:rsidRPr="009A4211">
              <w:rPr>
                <w:rFonts w:cs="Arial"/>
                <w:lang w:eastAsia="en-US"/>
              </w:rPr>
              <w:t>0</w:t>
            </w:r>
          </w:p>
        </w:tc>
      </w:tr>
      <w:tr w:rsidR="009E1B54" w:rsidRPr="009A4211" w:rsidTr="00F808E2">
        <w:trPr>
          <w:cantSplit/>
          <w:jc w:val="center"/>
        </w:trPr>
        <w:tc>
          <w:tcPr>
            <w:tcW w:w="945" w:type="dxa"/>
            <w:shd w:val="clear" w:color="auto" w:fill="auto"/>
            <w:vAlign w:val="center"/>
          </w:tcPr>
          <w:p w:rsidR="009E1B54" w:rsidRPr="009A4211" w:rsidRDefault="009E1B54" w:rsidP="00F808E2">
            <w:pPr>
              <w:pStyle w:val="TAC"/>
              <w:rPr>
                <w:rFonts w:cs="Arial"/>
                <w:lang w:eastAsia="en-US"/>
              </w:rPr>
            </w:pPr>
            <w:r w:rsidRPr="009A4211">
              <w:rPr>
                <w:rFonts w:cs="Arial"/>
                <w:lang w:eastAsia="en-US"/>
              </w:rPr>
              <w:t>P4</w:t>
            </w:r>
          </w:p>
        </w:tc>
        <w:tc>
          <w:tcPr>
            <w:tcW w:w="1152" w:type="dxa"/>
            <w:shd w:val="clear" w:color="auto" w:fill="auto"/>
            <w:vAlign w:val="center"/>
          </w:tcPr>
          <w:p w:rsidR="009E1B54" w:rsidRPr="009A4211" w:rsidRDefault="009E1B54" w:rsidP="00F808E2">
            <w:pPr>
              <w:pStyle w:val="TAC"/>
              <w:rPr>
                <w:rFonts w:cs="Arial"/>
                <w:lang w:eastAsia="en-US"/>
              </w:rPr>
            </w:pPr>
            <w:r w:rsidRPr="009A4211">
              <w:rPr>
                <w:rFonts w:cs="Arial"/>
                <w:lang w:eastAsia="en-US"/>
              </w:rPr>
              <w:t>0</w:t>
            </w:r>
          </w:p>
        </w:tc>
        <w:tc>
          <w:tcPr>
            <w:tcW w:w="1152" w:type="dxa"/>
            <w:vAlign w:val="center"/>
          </w:tcPr>
          <w:p w:rsidR="009E1B54" w:rsidRPr="009A4211" w:rsidRDefault="009E1B54" w:rsidP="00F808E2">
            <w:pPr>
              <w:pStyle w:val="TAC"/>
              <w:rPr>
                <w:rFonts w:ascii="Times New Roman" w:hAnsi="Times New Roman"/>
                <w:i/>
                <w:lang w:eastAsia="en-US"/>
              </w:rPr>
            </w:pPr>
            <w:r>
              <w:rPr>
                <w:rFonts w:ascii="Times New Roman" w:hAnsi="Times New Roman"/>
                <w:i/>
                <w:lang w:val="es-ES" w:eastAsia="en-US"/>
              </w:rPr>
              <w:t>20 cm</w:t>
            </w:r>
          </w:p>
        </w:tc>
        <w:tc>
          <w:tcPr>
            <w:tcW w:w="1152" w:type="dxa"/>
            <w:vAlign w:val="center"/>
          </w:tcPr>
          <w:p w:rsidR="009E1B54" w:rsidRPr="009A4211" w:rsidRDefault="009E1B54" w:rsidP="00F808E2">
            <w:pPr>
              <w:pStyle w:val="TAC"/>
              <w:rPr>
                <w:rFonts w:cs="Arial"/>
                <w:lang w:eastAsia="en-US"/>
              </w:rPr>
            </w:pPr>
            <w:r w:rsidRPr="009A4211">
              <w:rPr>
                <w:rFonts w:cs="Arial"/>
                <w:lang w:eastAsia="en-US"/>
              </w:rPr>
              <w:t>0</w:t>
            </w:r>
          </w:p>
        </w:tc>
      </w:tr>
      <w:tr w:rsidR="009E1B54" w:rsidRPr="009A4211" w:rsidTr="00F808E2">
        <w:trPr>
          <w:cantSplit/>
          <w:jc w:val="center"/>
        </w:trPr>
        <w:tc>
          <w:tcPr>
            <w:tcW w:w="945" w:type="dxa"/>
            <w:shd w:val="clear" w:color="auto" w:fill="auto"/>
            <w:vAlign w:val="center"/>
          </w:tcPr>
          <w:p w:rsidR="009E1B54" w:rsidRPr="009A4211" w:rsidRDefault="009E1B54" w:rsidP="00F808E2">
            <w:pPr>
              <w:pStyle w:val="TAC"/>
              <w:rPr>
                <w:rFonts w:cs="Arial"/>
                <w:lang w:eastAsia="en-US"/>
              </w:rPr>
            </w:pPr>
            <w:r w:rsidRPr="009A4211">
              <w:rPr>
                <w:rFonts w:cs="Arial"/>
                <w:lang w:eastAsia="en-US"/>
              </w:rPr>
              <w:t>P5</w:t>
            </w:r>
          </w:p>
        </w:tc>
        <w:tc>
          <w:tcPr>
            <w:tcW w:w="1152" w:type="dxa"/>
            <w:shd w:val="clear" w:color="auto" w:fill="auto"/>
            <w:vAlign w:val="center"/>
          </w:tcPr>
          <w:p w:rsidR="009E1B54" w:rsidRPr="009A4211" w:rsidRDefault="009E1B54" w:rsidP="00F808E2">
            <w:pPr>
              <w:pStyle w:val="TAC"/>
              <w:rPr>
                <w:rFonts w:cs="Arial"/>
                <w:lang w:eastAsia="en-US"/>
              </w:rPr>
            </w:pPr>
            <w:r w:rsidRPr="009A4211">
              <w:rPr>
                <w:rFonts w:cs="Arial"/>
                <w:lang w:eastAsia="en-US"/>
              </w:rPr>
              <w:t>0</w:t>
            </w:r>
          </w:p>
        </w:tc>
        <w:tc>
          <w:tcPr>
            <w:tcW w:w="1152" w:type="dxa"/>
            <w:vAlign w:val="center"/>
          </w:tcPr>
          <w:p w:rsidR="009E1B54" w:rsidRPr="009A4211" w:rsidRDefault="009E1B54" w:rsidP="00F808E2">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20 cm</w:t>
            </w:r>
          </w:p>
        </w:tc>
        <w:tc>
          <w:tcPr>
            <w:tcW w:w="1152" w:type="dxa"/>
            <w:vAlign w:val="center"/>
          </w:tcPr>
          <w:p w:rsidR="009E1B54" w:rsidRPr="009A4211" w:rsidRDefault="009E1B54" w:rsidP="00F808E2">
            <w:pPr>
              <w:pStyle w:val="TAC"/>
              <w:rPr>
                <w:rFonts w:cs="Arial"/>
                <w:lang w:eastAsia="en-US"/>
              </w:rPr>
            </w:pPr>
            <w:r w:rsidRPr="009A4211">
              <w:rPr>
                <w:rFonts w:cs="Arial"/>
                <w:lang w:eastAsia="en-US"/>
              </w:rPr>
              <w:t>0</w:t>
            </w:r>
          </w:p>
        </w:tc>
      </w:tr>
      <w:tr w:rsidR="009E1B54" w:rsidRPr="009A4211" w:rsidTr="00F808E2">
        <w:trPr>
          <w:cantSplit/>
          <w:jc w:val="center"/>
        </w:trPr>
        <w:tc>
          <w:tcPr>
            <w:tcW w:w="945" w:type="dxa"/>
            <w:shd w:val="clear" w:color="auto" w:fill="auto"/>
            <w:vAlign w:val="center"/>
          </w:tcPr>
          <w:p w:rsidR="009E1B54" w:rsidRPr="009A4211" w:rsidRDefault="009E1B54" w:rsidP="00F808E2">
            <w:pPr>
              <w:pStyle w:val="TAC"/>
              <w:rPr>
                <w:rFonts w:cs="Arial"/>
                <w:lang w:eastAsia="en-US"/>
              </w:rPr>
            </w:pPr>
            <w:r w:rsidRPr="009A4211">
              <w:rPr>
                <w:rFonts w:cs="Arial"/>
                <w:lang w:eastAsia="en-US"/>
              </w:rPr>
              <w:t>P6</w:t>
            </w:r>
          </w:p>
        </w:tc>
        <w:tc>
          <w:tcPr>
            <w:tcW w:w="1152" w:type="dxa"/>
            <w:shd w:val="clear" w:color="auto" w:fill="auto"/>
            <w:vAlign w:val="center"/>
          </w:tcPr>
          <w:p w:rsidR="009E1B54" w:rsidRPr="009A4211" w:rsidRDefault="009E1B54" w:rsidP="00F808E2">
            <w:pPr>
              <w:pStyle w:val="TAC"/>
              <w:rPr>
                <w:rFonts w:cs="Arial"/>
                <w:lang w:eastAsia="en-US"/>
              </w:rPr>
            </w:pPr>
            <w:r w:rsidRPr="009A4211">
              <w:rPr>
                <w:rFonts w:cs="Arial"/>
                <w:lang w:eastAsia="en-US"/>
              </w:rPr>
              <w:t>0</w:t>
            </w:r>
          </w:p>
        </w:tc>
        <w:tc>
          <w:tcPr>
            <w:tcW w:w="1152" w:type="dxa"/>
            <w:vAlign w:val="center"/>
          </w:tcPr>
          <w:p w:rsidR="009E1B54" w:rsidRPr="009A4211" w:rsidRDefault="009E1B54" w:rsidP="00F808E2">
            <w:pPr>
              <w:pStyle w:val="TAC"/>
              <w:rPr>
                <w:rFonts w:cs="Arial"/>
                <w:lang w:eastAsia="en-US"/>
              </w:rPr>
            </w:pPr>
            <w:r w:rsidRPr="009A4211">
              <w:rPr>
                <w:rFonts w:cs="Arial"/>
                <w:lang w:eastAsia="en-US"/>
              </w:rPr>
              <w:t>0</w:t>
            </w:r>
          </w:p>
        </w:tc>
        <w:tc>
          <w:tcPr>
            <w:tcW w:w="1152" w:type="dxa"/>
            <w:vAlign w:val="center"/>
          </w:tcPr>
          <w:p w:rsidR="009E1B54" w:rsidRPr="009A4211" w:rsidRDefault="009E1B54" w:rsidP="00F808E2">
            <w:pPr>
              <w:pStyle w:val="TAC"/>
              <w:rPr>
                <w:rFonts w:ascii="Times New Roman" w:hAnsi="Times New Roman"/>
                <w:i/>
                <w:lang w:eastAsia="en-US"/>
              </w:rPr>
            </w:pPr>
            <w:r>
              <w:rPr>
                <w:rFonts w:ascii="Times New Roman" w:hAnsi="Times New Roman"/>
                <w:i/>
                <w:lang w:val="es-ES" w:eastAsia="en-US"/>
              </w:rPr>
              <w:t>20 cm</w:t>
            </w:r>
          </w:p>
        </w:tc>
      </w:tr>
      <w:tr w:rsidR="009E1B54" w:rsidRPr="009A4211" w:rsidTr="00F808E2">
        <w:trPr>
          <w:cantSplit/>
          <w:jc w:val="center"/>
        </w:trPr>
        <w:tc>
          <w:tcPr>
            <w:tcW w:w="945" w:type="dxa"/>
            <w:shd w:val="clear" w:color="auto" w:fill="auto"/>
            <w:vAlign w:val="center"/>
          </w:tcPr>
          <w:p w:rsidR="009E1B54" w:rsidRPr="009A4211" w:rsidRDefault="009E1B54" w:rsidP="00F808E2">
            <w:pPr>
              <w:pStyle w:val="TAC"/>
              <w:rPr>
                <w:rFonts w:cs="Arial"/>
                <w:lang w:eastAsia="en-US"/>
              </w:rPr>
            </w:pPr>
            <w:r w:rsidRPr="009A4211">
              <w:rPr>
                <w:rFonts w:cs="Arial"/>
                <w:lang w:eastAsia="en-US"/>
              </w:rPr>
              <w:t>P7</w:t>
            </w:r>
          </w:p>
        </w:tc>
        <w:tc>
          <w:tcPr>
            <w:tcW w:w="1152" w:type="dxa"/>
            <w:shd w:val="clear" w:color="auto" w:fill="auto"/>
            <w:vAlign w:val="center"/>
          </w:tcPr>
          <w:p w:rsidR="009E1B54" w:rsidRPr="009A4211" w:rsidRDefault="009E1B54" w:rsidP="00F808E2">
            <w:pPr>
              <w:pStyle w:val="TAC"/>
              <w:rPr>
                <w:rFonts w:cs="Arial"/>
                <w:lang w:eastAsia="en-US"/>
              </w:rPr>
            </w:pPr>
            <w:r w:rsidRPr="009A4211">
              <w:rPr>
                <w:rFonts w:cs="Arial"/>
                <w:lang w:eastAsia="en-US"/>
              </w:rPr>
              <w:t>0</w:t>
            </w:r>
          </w:p>
        </w:tc>
        <w:tc>
          <w:tcPr>
            <w:tcW w:w="1152" w:type="dxa"/>
            <w:vAlign w:val="center"/>
          </w:tcPr>
          <w:p w:rsidR="009E1B54" w:rsidRPr="009A4211" w:rsidRDefault="009E1B54" w:rsidP="00F808E2">
            <w:pPr>
              <w:pStyle w:val="TAC"/>
              <w:rPr>
                <w:rFonts w:cs="Arial"/>
                <w:lang w:eastAsia="en-US"/>
              </w:rPr>
            </w:pPr>
            <w:r w:rsidRPr="009A4211">
              <w:rPr>
                <w:rFonts w:cs="Arial"/>
                <w:lang w:eastAsia="en-US"/>
              </w:rPr>
              <w:t>0</w:t>
            </w:r>
          </w:p>
        </w:tc>
        <w:tc>
          <w:tcPr>
            <w:tcW w:w="1152" w:type="dxa"/>
            <w:vAlign w:val="center"/>
          </w:tcPr>
          <w:p w:rsidR="009E1B54" w:rsidRPr="009A4211" w:rsidRDefault="009E1B54" w:rsidP="00F808E2">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15 cm</w:t>
            </w:r>
          </w:p>
        </w:tc>
      </w:tr>
    </w:tbl>
    <w:p w:rsidR="009E1B54" w:rsidRDefault="009E1B54" w:rsidP="00150BD1">
      <w:pPr>
        <w:rPr>
          <w:lang w:eastAsia="en-US"/>
        </w:rPr>
      </w:pPr>
    </w:p>
    <w:p w:rsidR="009E1B54" w:rsidRDefault="009E1B54" w:rsidP="009E1B54">
      <w:pPr>
        <w:jc w:val="both"/>
        <w:rPr>
          <w:lang w:val="en-GB" w:eastAsia="en-US"/>
        </w:rPr>
      </w:pPr>
      <w:r w:rsidRPr="001D7644">
        <w:rPr>
          <w:lang w:val="en-GB" w:eastAsia="en-US"/>
        </w:rPr>
        <w:t>The following table show the EIRP and TRP standard deviation calculated from full campaign results for 40cm QZ (i.e. 238 points, P1 to P7, all antenna orientations, 2 polarizations):</w:t>
      </w:r>
    </w:p>
    <w:p w:rsidR="009E1B54" w:rsidRDefault="009E1B54" w:rsidP="009E1B54">
      <w:pPr>
        <w:pStyle w:val="Caption"/>
      </w:pPr>
      <w:bookmarkStart w:id="2" w:name="_Ref158382529"/>
      <w:r w:rsidRPr="003E2348">
        <w:lastRenderedPageBreak/>
        <w:t xml:space="preserve">Table </w:t>
      </w:r>
      <w:r w:rsidRPr="003E2348">
        <w:fldChar w:fldCharType="begin"/>
      </w:r>
      <w:r w:rsidRPr="003E2348">
        <w:instrText xml:space="preserve"> STYLEREF 1 \s </w:instrText>
      </w:r>
      <w:r w:rsidRPr="003E2348">
        <w:fldChar w:fldCharType="separate"/>
      </w:r>
      <w:r w:rsidR="00B430D4">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B430D4">
        <w:rPr>
          <w:noProof/>
        </w:rPr>
        <w:t>2</w:t>
      </w:r>
      <w:r w:rsidRPr="003E2348">
        <w:fldChar w:fldCharType="end"/>
      </w:r>
      <w:bookmarkEnd w:id="2"/>
      <w:r w:rsidRPr="003E2348">
        <w:t xml:space="preserve">: </w:t>
      </w:r>
      <w:r>
        <w:t>EIRP QoQZ MU for 40cm QZ</w:t>
      </w:r>
    </w:p>
    <w:tbl>
      <w:tblPr>
        <w:tblStyle w:val="GridTable5Dark-Accent3"/>
        <w:tblW w:w="3498" w:type="pct"/>
        <w:jc w:val="center"/>
        <w:tblLook w:val="0400" w:firstRow="0" w:lastRow="0" w:firstColumn="0" w:lastColumn="0" w:noHBand="0" w:noVBand="1"/>
      </w:tblPr>
      <w:tblGrid>
        <w:gridCol w:w="1170"/>
        <w:gridCol w:w="801"/>
        <w:gridCol w:w="979"/>
        <w:gridCol w:w="1071"/>
        <w:gridCol w:w="887"/>
        <w:gridCol w:w="887"/>
        <w:gridCol w:w="746"/>
      </w:tblGrid>
      <w:tr w:rsidR="00EF58A1" w:rsidRPr="00A72534" w:rsidTr="00EF58A1">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rsidR="00EF58A1" w:rsidRPr="000711C7" w:rsidRDefault="00EF58A1" w:rsidP="00F808E2">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rsidR="00EF58A1" w:rsidRPr="000711C7" w:rsidRDefault="00EF58A1" w:rsidP="00F808E2">
            <w:pPr>
              <w:spacing w:after="0" w:line="240" w:lineRule="auto"/>
              <w:jc w:val="center"/>
              <w:rPr>
                <w:rFonts w:ascii="Calibri" w:eastAsia="Times New Roman" w:hAnsi="Calibri" w:cs="Calibri"/>
                <w:b/>
                <w:bCs/>
                <w:color w:val="000000"/>
                <w:sz w:val="18"/>
                <w:szCs w:val="18"/>
                <w:lang w:eastAsia="en-US"/>
              </w:rPr>
            </w:pPr>
          </w:p>
        </w:tc>
        <w:tc>
          <w:tcPr>
            <w:tcW w:w="0" w:type="auto"/>
            <w:gridSpan w:val="5"/>
            <w:shd w:val="clear" w:color="auto" w:fill="BFBFBF" w:themeFill="background1" w:themeFillShade="BF"/>
            <w:noWrap/>
            <w:vAlign w:val="center"/>
          </w:tcPr>
          <w:p w:rsidR="00EF58A1" w:rsidRPr="000711C7" w:rsidRDefault="00EF58A1" w:rsidP="00F808E2">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EIRP 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EF58A1" w:rsidRPr="00A72534" w:rsidTr="00EF58A1">
        <w:trPr>
          <w:trHeight w:val="315"/>
          <w:jc w:val="center"/>
        </w:trPr>
        <w:tc>
          <w:tcPr>
            <w:tcW w:w="0" w:type="auto"/>
            <w:shd w:val="clear" w:color="auto" w:fill="BFBFBF" w:themeFill="background1" w:themeFillShade="BF"/>
            <w:noWrap/>
            <w:vAlign w:val="center"/>
            <w:hideMark/>
          </w:tcPr>
          <w:p w:rsidR="00EF58A1" w:rsidRPr="000711C7" w:rsidRDefault="00EF58A1" w:rsidP="00F808E2">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Set of points</w:t>
            </w:r>
          </w:p>
        </w:tc>
        <w:tc>
          <w:tcPr>
            <w:tcW w:w="0" w:type="auto"/>
            <w:shd w:val="clear" w:color="auto" w:fill="BFBFBF" w:themeFill="background1" w:themeFillShade="BF"/>
            <w:noWrap/>
            <w:vAlign w:val="center"/>
            <w:hideMark/>
          </w:tcPr>
          <w:p w:rsidR="00EF58A1" w:rsidRPr="000711C7" w:rsidRDefault="00EF58A1" w:rsidP="00F808E2">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meas.</w:t>
            </w:r>
          </w:p>
        </w:tc>
        <w:tc>
          <w:tcPr>
            <w:tcW w:w="0" w:type="auto"/>
            <w:shd w:val="clear" w:color="auto" w:fill="BFBFBF" w:themeFill="background1" w:themeFillShade="BF"/>
            <w:noWrap/>
            <w:vAlign w:val="center"/>
            <w:hideMark/>
          </w:tcPr>
          <w:p w:rsidR="00EF58A1" w:rsidRPr="000711C7" w:rsidRDefault="00EF58A1" w:rsidP="00F808E2">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rsidR="00EF58A1" w:rsidRPr="000711C7" w:rsidRDefault="00EF58A1" w:rsidP="00F808E2">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rsidR="00EF58A1" w:rsidRPr="000711C7" w:rsidRDefault="00EF58A1" w:rsidP="00F808E2">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rsidR="00EF58A1" w:rsidRPr="000711C7" w:rsidRDefault="00EF58A1" w:rsidP="009E1B54">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c>
          <w:tcPr>
            <w:tcW w:w="0" w:type="auto"/>
            <w:shd w:val="clear" w:color="auto" w:fill="BFBFBF" w:themeFill="background1" w:themeFillShade="BF"/>
            <w:vAlign w:val="center"/>
          </w:tcPr>
          <w:p w:rsidR="00EF58A1" w:rsidRPr="000711C7" w:rsidRDefault="00EF58A1" w:rsidP="009E1B54">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49 GHz</w:t>
            </w:r>
          </w:p>
        </w:tc>
      </w:tr>
      <w:tr w:rsidR="00AF5010" w:rsidRPr="001D7644" w:rsidTr="00AF5010">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rsidR="00AF5010" w:rsidRPr="00620C21" w:rsidRDefault="00AF5010" w:rsidP="00AF5010">
            <w:pPr>
              <w:spacing w:after="0" w:line="240" w:lineRule="auto"/>
              <w:jc w:val="center"/>
              <w:rPr>
                <w:rFonts w:ascii="Calibri" w:hAnsi="Calibri" w:cs="Calibri"/>
                <w:color w:val="000000"/>
                <w:sz w:val="18"/>
                <w:szCs w:val="18"/>
              </w:rPr>
            </w:pPr>
            <w:r w:rsidRPr="00620C21">
              <w:rPr>
                <w:rFonts w:ascii="Calibri" w:hAnsi="Calibri" w:cs="Calibri"/>
                <w:color w:val="000000"/>
                <w:sz w:val="18"/>
                <w:szCs w:val="18"/>
              </w:rPr>
              <w:t>P1 to P7</w:t>
            </w:r>
          </w:p>
        </w:tc>
        <w:tc>
          <w:tcPr>
            <w:tcW w:w="0" w:type="auto"/>
            <w:noWrap/>
            <w:vAlign w:val="center"/>
          </w:tcPr>
          <w:p w:rsidR="00AF5010" w:rsidRPr="00620C21" w:rsidRDefault="00AF5010" w:rsidP="00AF5010">
            <w:pPr>
              <w:spacing w:after="0" w:line="240" w:lineRule="auto"/>
              <w:jc w:val="center"/>
              <w:rPr>
                <w:rFonts w:ascii="Calibri" w:hAnsi="Calibri" w:cs="Calibri"/>
                <w:color w:val="000000"/>
                <w:sz w:val="18"/>
                <w:szCs w:val="18"/>
              </w:rPr>
            </w:pPr>
            <w:r w:rsidRPr="00620C21">
              <w:rPr>
                <w:rFonts w:ascii="Calibri" w:hAnsi="Calibri" w:cs="Calibri"/>
                <w:color w:val="000000"/>
                <w:sz w:val="18"/>
                <w:szCs w:val="18"/>
              </w:rPr>
              <w:t>238</w:t>
            </w:r>
          </w:p>
        </w:tc>
        <w:tc>
          <w:tcPr>
            <w:tcW w:w="0" w:type="auto"/>
            <w:noWrap/>
            <w:vAlign w:val="center"/>
          </w:tcPr>
          <w:p w:rsidR="00AF5010" w:rsidRPr="00F74F91" w:rsidRDefault="00AF5010" w:rsidP="00AF5010">
            <w:pPr>
              <w:spacing w:after="0" w:line="240" w:lineRule="auto"/>
              <w:jc w:val="center"/>
              <w:rPr>
                <w:rFonts w:ascii="Calibri" w:hAnsi="Calibri" w:cs="Calibri"/>
                <w:color w:val="000000"/>
                <w:sz w:val="18"/>
                <w:szCs w:val="18"/>
              </w:rPr>
            </w:pPr>
            <w:r w:rsidRPr="00F74F91">
              <w:rPr>
                <w:rFonts w:ascii="Calibri" w:hAnsi="Calibri" w:cs="Calibri"/>
                <w:color w:val="000000"/>
                <w:sz w:val="18"/>
                <w:szCs w:val="18"/>
              </w:rPr>
              <w:t>0.71</w:t>
            </w:r>
          </w:p>
        </w:tc>
        <w:tc>
          <w:tcPr>
            <w:tcW w:w="0" w:type="auto"/>
            <w:noWrap/>
            <w:vAlign w:val="center"/>
          </w:tcPr>
          <w:p w:rsidR="00AF5010" w:rsidRPr="00F74F91" w:rsidRDefault="00AF5010" w:rsidP="00AF5010">
            <w:pPr>
              <w:spacing w:after="0" w:line="240" w:lineRule="auto"/>
              <w:jc w:val="center"/>
              <w:rPr>
                <w:rFonts w:ascii="Calibri" w:hAnsi="Calibri" w:cs="Calibri"/>
                <w:color w:val="000000"/>
                <w:sz w:val="18"/>
                <w:szCs w:val="18"/>
              </w:rPr>
            </w:pPr>
            <w:r w:rsidRPr="00F74F91">
              <w:rPr>
                <w:rFonts w:ascii="Calibri" w:hAnsi="Calibri" w:cs="Calibri"/>
                <w:color w:val="000000"/>
                <w:sz w:val="18"/>
                <w:szCs w:val="18"/>
              </w:rPr>
              <w:t>0.71</w:t>
            </w:r>
          </w:p>
        </w:tc>
        <w:tc>
          <w:tcPr>
            <w:tcW w:w="0" w:type="auto"/>
            <w:noWrap/>
            <w:vAlign w:val="center"/>
          </w:tcPr>
          <w:p w:rsidR="00AF5010" w:rsidRPr="00F74F91" w:rsidRDefault="00AF5010" w:rsidP="00AF5010">
            <w:pPr>
              <w:spacing w:after="0" w:line="240" w:lineRule="auto"/>
              <w:jc w:val="center"/>
              <w:rPr>
                <w:rFonts w:ascii="Calibri" w:hAnsi="Calibri" w:cs="Calibri"/>
                <w:color w:val="000000"/>
                <w:sz w:val="18"/>
                <w:szCs w:val="18"/>
              </w:rPr>
            </w:pPr>
            <w:r w:rsidRPr="00F74F91">
              <w:rPr>
                <w:rFonts w:ascii="Calibri" w:hAnsi="Calibri" w:cs="Calibri"/>
                <w:color w:val="000000"/>
                <w:sz w:val="18"/>
                <w:szCs w:val="18"/>
              </w:rPr>
              <w:t>0.66</w:t>
            </w:r>
          </w:p>
        </w:tc>
        <w:tc>
          <w:tcPr>
            <w:tcW w:w="0" w:type="auto"/>
            <w:noWrap/>
            <w:vAlign w:val="center"/>
          </w:tcPr>
          <w:p w:rsidR="00AF5010" w:rsidRPr="00F74F91" w:rsidRDefault="00AF5010" w:rsidP="00AF5010">
            <w:pPr>
              <w:spacing w:after="0" w:line="240" w:lineRule="auto"/>
              <w:jc w:val="center"/>
              <w:rPr>
                <w:rFonts w:ascii="Calibri" w:hAnsi="Calibri" w:cs="Calibri"/>
                <w:color w:val="000000"/>
                <w:sz w:val="18"/>
                <w:szCs w:val="18"/>
              </w:rPr>
            </w:pPr>
            <w:r w:rsidRPr="00F74F91">
              <w:rPr>
                <w:rFonts w:ascii="Calibri" w:hAnsi="Calibri" w:cs="Calibri"/>
                <w:color w:val="000000"/>
                <w:sz w:val="18"/>
                <w:szCs w:val="18"/>
              </w:rPr>
              <w:t>0.71</w:t>
            </w:r>
          </w:p>
        </w:tc>
        <w:tc>
          <w:tcPr>
            <w:tcW w:w="0" w:type="auto"/>
            <w:vAlign w:val="center"/>
          </w:tcPr>
          <w:p w:rsidR="00AF5010" w:rsidRPr="00F74F91" w:rsidRDefault="00AF5010" w:rsidP="00AF5010">
            <w:pPr>
              <w:spacing w:after="0" w:line="240" w:lineRule="auto"/>
              <w:jc w:val="center"/>
              <w:rPr>
                <w:rFonts w:ascii="Calibri" w:hAnsi="Calibri" w:cs="Calibri"/>
                <w:color w:val="000000"/>
                <w:sz w:val="18"/>
                <w:szCs w:val="18"/>
              </w:rPr>
            </w:pPr>
            <w:r w:rsidRPr="00F74F91">
              <w:rPr>
                <w:rFonts w:ascii="Calibri" w:hAnsi="Calibri" w:cs="Calibri"/>
                <w:color w:val="000000"/>
                <w:sz w:val="18"/>
                <w:szCs w:val="18"/>
              </w:rPr>
              <w:t>0.73</w:t>
            </w:r>
          </w:p>
        </w:tc>
      </w:tr>
      <w:tr w:rsidR="00AF5010" w:rsidRPr="00A72534" w:rsidTr="00AF5010">
        <w:trPr>
          <w:trHeight w:val="315"/>
          <w:jc w:val="center"/>
        </w:trPr>
        <w:tc>
          <w:tcPr>
            <w:tcW w:w="0" w:type="auto"/>
            <w:noWrap/>
            <w:vAlign w:val="center"/>
          </w:tcPr>
          <w:p w:rsidR="00AF5010" w:rsidRPr="00620C21" w:rsidRDefault="00AF5010" w:rsidP="00AF5010">
            <w:pPr>
              <w:spacing w:after="0" w:line="240" w:lineRule="auto"/>
              <w:jc w:val="center"/>
              <w:rPr>
                <w:rFonts w:ascii="Calibri" w:hAnsi="Calibri" w:cs="Calibri"/>
                <w:color w:val="000000"/>
                <w:sz w:val="18"/>
                <w:szCs w:val="18"/>
              </w:rPr>
            </w:pPr>
            <w:r w:rsidRPr="00620C21">
              <w:rPr>
                <w:rFonts w:ascii="Calibri" w:hAnsi="Calibri" w:cs="Calibri"/>
                <w:color w:val="000000"/>
                <w:sz w:val="18"/>
                <w:szCs w:val="18"/>
              </w:rPr>
              <w:t>P1</w:t>
            </w:r>
          </w:p>
        </w:tc>
        <w:tc>
          <w:tcPr>
            <w:tcW w:w="0" w:type="auto"/>
            <w:noWrap/>
            <w:vAlign w:val="center"/>
          </w:tcPr>
          <w:p w:rsidR="00AF5010" w:rsidRPr="00620C21" w:rsidRDefault="00AF5010" w:rsidP="00AF5010">
            <w:pPr>
              <w:spacing w:after="0" w:line="240" w:lineRule="auto"/>
              <w:jc w:val="center"/>
              <w:rPr>
                <w:rFonts w:ascii="Calibri" w:hAnsi="Calibri" w:cs="Calibri"/>
                <w:color w:val="000000"/>
                <w:sz w:val="18"/>
                <w:szCs w:val="18"/>
              </w:rPr>
            </w:pPr>
            <w:r w:rsidRPr="00620C21">
              <w:rPr>
                <w:rFonts w:ascii="Calibri" w:hAnsi="Calibri" w:cs="Calibri"/>
                <w:color w:val="000000"/>
                <w:sz w:val="18"/>
                <w:szCs w:val="18"/>
              </w:rPr>
              <w:t>34</w:t>
            </w:r>
          </w:p>
        </w:tc>
        <w:tc>
          <w:tcPr>
            <w:tcW w:w="0" w:type="auto"/>
            <w:noWrap/>
            <w:vAlign w:val="center"/>
          </w:tcPr>
          <w:p w:rsidR="00AF5010" w:rsidRPr="00F74F91" w:rsidRDefault="00AF5010" w:rsidP="00AF5010">
            <w:pPr>
              <w:spacing w:after="0" w:line="240" w:lineRule="auto"/>
              <w:jc w:val="center"/>
              <w:rPr>
                <w:rFonts w:ascii="Calibri" w:hAnsi="Calibri" w:cs="Calibri"/>
                <w:color w:val="000000"/>
                <w:sz w:val="18"/>
                <w:szCs w:val="18"/>
              </w:rPr>
            </w:pPr>
            <w:r w:rsidRPr="00F74F91">
              <w:rPr>
                <w:rFonts w:ascii="Calibri" w:hAnsi="Calibri" w:cs="Calibri"/>
                <w:color w:val="000000"/>
                <w:sz w:val="18"/>
                <w:szCs w:val="18"/>
              </w:rPr>
              <w:t>0.19</w:t>
            </w:r>
          </w:p>
        </w:tc>
        <w:tc>
          <w:tcPr>
            <w:tcW w:w="0" w:type="auto"/>
            <w:noWrap/>
            <w:vAlign w:val="center"/>
          </w:tcPr>
          <w:p w:rsidR="00AF5010" w:rsidRPr="00F74F91" w:rsidRDefault="00AF5010" w:rsidP="00AF5010">
            <w:pPr>
              <w:spacing w:after="0" w:line="240" w:lineRule="auto"/>
              <w:jc w:val="center"/>
              <w:rPr>
                <w:rFonts w:ascii="Calibri" w:hAnsi="Calibri" w:cs="Calibri"/>
                <w:color w:val="000000"/>
                <w:sz w:val="18"/>
                <w:szCs w:val="18"/>
              </w:rPr>
            </w:pPr>
            <w:r w:rsidRPr="00F74F91">
              <w:rPr>
                <w:rFonts w:ascii="Calibri" w:hAnsi="Calibri" w:cs="Calibri"/>
                <w:color w:val="000000"/>
                <w:sz w:val="18"/>
                <w:szCs w:val="18"/>
              </w:rPr>
              <w:t>0.18</w:t>
            </w:r>
          </w:p>
        </w:tc>
        <w:tc>
          <w:tcPr>
            <w:tcW w:w="0" w:type="auto"/>
            <w:noWrap/>
            <w:vAlign w:val="center"/>
          </w:tcPr>
          <w:p w:rsidR="00AF5010" w:rsidRPr="00F74F91" w:rsidRDefault="00AF5010" w:rsidP="00AF5010">
            <w:pPr>
              <w:spacing w:after="0" w:line="240" w:lineRule="auto"/>
              <w:jc w:val="center"/>
              <w:rPr>
                <w:rFonts w:ascii="Calibri" w:hAnsi="Calibri" w:cs="Calibri"/>
                <w:color w:val="000000"/>
                <w:sz w:val="18"/>
                <w:szCs w:val="18"/>
              </w:rPr>
            </w:pPr>
            <w:r w:rsidRPr="00F74F91">
              <w:rPr>
                <w:rFonts w:ascii="Calibri" w:hAnsi="Calibri" w:cs="Calibri"/>
                <w:color w:val="000000"/>
                <w:sz w:val="18"/>
                <w:szCs w:val="18"/>
              </w:rPr>
              <w:t>0.29</w:t>
            </w:r>
          </w:p>
        </w:tc>
        <w:tc>
          <w:tcPr>
            <w:tcW w:w="0" w:type="auto"/>
            <w:noWrap/>
            <w:vAlign w:val="center"/>
          </w:tcPr>
          <w:p w:rsidR="00AF5010" w:rsidRPr="00F74F91" w:rsidRDefault="00AF5010" w:rsidP="00AF5010">
            <w:pPr>
              <w:spacing w:after="0" w:line="240" w:lineRule="auto"/>
              <w:jc w:val="center"/>
              <w:rPr>
                <w:rFonts w:ascii="Calibri" w:hAnsi="Calibri" w:cs="Calibri"/>
                <w:color w:val="000000"/>
                <w:sz w:val="18"/>
                <w:szCs w:val="18"/>
              </w:rPr>
            </w:pPr>
            <w:r w:rsidRPr="00F74F91">
              <w:rPr>
                <w:rFonts w:ascii="Calibri" w:hAnsi="Calibri" w:cs="Calibri"/>
                <w:color w:val="000000"/>
                <w:sz w:val="18"/>
                <w:szCs w:val="18"/>
              </w:rPr>
              <w:t>0.21</w:t>
            </w:r>
          </w:p>
        </w:tc>
        <w:tc>
          <w:tcPr>
            <w:tcW w:w="0" w:type="auto"/>
            <w:vAlign w:val="center"/>
          </w:tcPr>
          <w:p w:rsidR="00AF5010" w:rsidRPr="00F74F91" w:rsidRDefault="00AF5010" w:rsidP="00AF5010">
            <w:pPr>
              <w:spacing w:after="0" w:line="240" w:lineRule="auto"/>
              <w:jc w:val="center"/>
              <w:rPr>
                <w:rFonts w:ascii="Calibri" w:hAnsi="Calibri" w:cs="Calibri"/>
                <w:color w:val="000000"/>
                <w:sz w:val="18"/>
                <w:szCs w:val="18"/>
              </w:rPr>
            </w:pPr>
            <w:r w:rsidRPr="00F74F91">
              <w:rPr>
                <w:rFonts w:ascii="Calibri" w:hAnsi="Calibri" w:cs="Calibri"/>
                <w:color w:val="000000"/>
                <w:sz w:val="18"/>
                <w:szCs w:val="18"/>
              </w:rPr>
              <w:t>0.25</w:t>
            </w:r>
          </w:p>
        </w:tc>
      </w:tr>
    </w:tbl>
    <w:p w:rsidR="009E1B54" w:rsidRDefault="009E1B54" w:rsidP="009E1B54">
      <w:pPr>
        <w:jc w:val="both"/>
        <w:rPr>
          <w:lang w:val="en-GB" w:eastAsia="en-US"/>
        </w:rPr>
      </w:pPr>
    </w:p>
    <w:p w:rsidR="009E1B54" w:rsidRDefault="009E1B54" w:rsidP="009E1B54">
      <w:pPr>
        <w:spacing w:after="0" w:line="240" w:lineRule="auto"/>
        <w:rPr>
          <w:rFonts w:eastAsia="Calibri" w:cs="Times New Roman"/>
          <w:b/>
          <w:bCs/>
          <w:sz w:val="18"/>
          <w:szCs w:val="18"/>
          <w:lang w:eastAsia="en-US"/>
        </w:rPr>
      </w:pPr>
      <w:bookmarkStart w:id="3" w:name="_Ref110337986"/>
    </w:p>
    <w:p w:rsidR="009E1B54" w:rsidRDefault="009E1B54" w:rsidP="009E1B54">
      <w:pPr>
        <w:pStyle w:val="Caption"/>
      </w:pPr>
      <w:bookmarkStart w:id="4" w:name="_Ref158382388"/>
      <w:r w:rsidRPr="003E2348">
        <w:t xml:space="preserve">Table </w:t>
      </w:r>
      <w:r w:rsidRPr="003E2348">
        <w:fldChar w:fldCharType="begin"/>
      </w:r>
      <w:r w:rsidRPr="003E2348">
        <w:instrText xml:space="preserve"> STYLEREF 1 \s </w:instrText>
      </w:r>
      <w:r w:rsidRPr="003E2348">
        <w:fldChar w:fldCharType="separate"/>
      </w:r>
      <w:r w:rsidR="00B430D4">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B430D4">
        <w:rPr>
          <w:noProof/>
        </w:rPr>
        <w:t>3</w:t>
      </w:r>
      <w:r w:rsidRPr="003E2348">
        <w:fldChar w:fldCharType="end"/>
      </w:r>
      <w:bookmarkEnd w:id="3"/>
      <w:bookmarkEnd w:id="4"/>
      <w:r w:rsidRPr="003E2348">
        <w:t xml:space="preserve">: </w:t>
      </w:r>
      <w:r>
        <w:t>TRP QoQZ MU for 40cm QZ</w:t>
      </w:r>
    </w:p>
    <w:tbl>
      <w:tblPr>
        <w:tblStyle w:val="GridTable5Dark-Accent3"/>
        <w:tblW w:w="3498" w:type="pct"/>
        <w:jc w:val="center"/>
        <w:tblLook w:val="0400" w:firstRow="0" w:lastRow="0" w:firstColumn="0" w:lastColumn="0" w:noHBand="0" w:noVBand="1"/>
      </w:tblPr>
      <w:tblGrid>
        <w:gridCol w:w="1170"/>
        <w:gridCol w:w="801"/>
        <w:gridCol w:w="979"/>
        <w:gridCol w:w="1071"/>
        <w:gridCol w:w="887"/>
        <w:gridCol w:w="887"/>
        <w:gridCol w:w="746"/>
      </w:tblGrid>
      <w:tr w:rsidR="00EF58A1" w:rsidRPr="00A72534" w:rsidTr="00EF58A1">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rsidR="00EF58A1" w:rsidRPr="000711C7" w:rsidRDefault="00EF58A1" w:rsidP="00F808E2">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rsidR="00EF58A1" w:rsidRPr="000711C7" w:rsidRDefault="00EF58A1" w:rsidP="00F808E2">
            <w:pPr>
              <w:spacing w:after="0" w:line="240" w:lineRule="auto"/>
              <w:jc w:val="center"/>
              <w:rPr>
                <w:rFonts w:asciiTheme="minorHAnsi" w:eastAsia="Times New Roman" w:hAnsiTheme="minorHAnsi" w:cstheme="minorHAnsi"/>
                <w:b/>
                <w:bCs/>
                <w:color w:val="000000"/>
                <w:sz w:val="18"/>
                <w:szCs w:val="18"/>
                <w:lang w:eastAsia="en-US"/>
              </w:rPr>
            </w:pPr>
          </w:p>
        </w:tc>
        <w:tc>
          <w:tcPr>
            <w:tcW w:w="0" w:type="auto"/>
            <w:gridSpan w:val="5"/>
            <w:shd w:val="clear" w:color="auto" w:fill="BFBFBF" w:themeFill="background1" w:themeFillShade="BF"/>
            <w:noWrap/>
            <w:vAlign w:val="center"/>
          </w:tcPr>
          <w:p w:rsidR="00EF58A1" w:rsidRPr="00A72534" w:rsidRDefault="00EF58A1" w:rsidP="00F808E2">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eastAsia="Times New Roman" w:hAnsiTheme="minorHAnsi" w:cstheme="minorHAnsi"/>
                <w:b/>
                <w:bCs/>
                <w:color w:val="000000"/>
                <w:sz w:val="18"/>
                <w:szCs w:val="18"/>
                <w:lang w:eastAsia="en-US"/>
              </w:rPr>
              <w:t>TRP</w:t>
            </w:r>
            <w:r w:rsidRPr="000711C7">
              <w:rPr>
                <w:rFonts w:asciiTheme="minorHAnsi" w:eastAsia="Times New Roman" w:hAnsiTheme="minorHAnsi" w:cstheme="minorHAnsi"/>
                <w:b/>
                <w:bCs/>
                <w:color w:val="000000"/>
                <w:sz w:val="18"/>
                <w:szCs w:val="18"/>
                <w:lang w:eastAsia="en-US"/>
              </w:rPr>
              <w:t xml:space="preserve"> Std Deviation </w:t>
            </w:r>
            <w:r>
              <w:rPr>
                <w:rFonts w:ascii="Calibri" w:eastAsia="Times New Roman" w:hAnsi="Calibri" w:cs="Calibri"/>
                <w:b/>
                <w:bCs/>
                <w:color w:val="000000"/>
                <w:sz w:val="18"/>
                <w:szCs w:val="18"/>
                <w:lang w:eastAsia="en-US"/>
              </w:rPr>
              <w:t>[dB]</w:t>
            </w:r>
            <w:r w:rsidRPr="000711C7">
              <w:rPr>
                <w:rFonts w:asciiTheme="minorHAnsi" w:eastAsia="Times New Roman" w:hAnsiTheme="minorHAnsi" w:cstheme="minorHAnsi"/>
                <w:b/>
                <w:bCs/>
                <w:color w:val="000000"/>
                <w:sz w:val="18"/>
                <w:szCs w:val="18"/>
                <w:lang w:eastAsia="en-US"/>
              </w:rPr>
              <w:t xml:space="preserve"> / Frequency</w:t>
            </w:r>
          </w:p>
        </w:tc>
      </w:tr>
      <w:tr w:rsidR="00EF58A1" w:rsidRPr="00A72534" w:rsidTr="00EF58A1">
        <w:trPr>
          <w:trHeight w:val="315"/>
          <w:jc w:val="center"/>
        </w:trPr>
        <w:tc>
          <w:tcPr>
            <w:tcW w:w="0" w:type="auto"/>
            <w:shd w:val="clear" w:color="auto" w:fill="BFBFBF" w:themeFill="background1" w:themeFillShade="BF"/>
            <w:noWrap/>
            <w:vAlign w:val="center"/>
            <w:hideMark/>
          </w:tcPr>
          <w:p w:rsidR="00EF58A1" w:rsidRPr="000711C7" w:rsidRDefault="00EF58A1" w:rsidP="00F808E2">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Set of points</w:t>
            </w:r>
          </w:p>
        </w:tc>
        <w:tc>
          <w:tcPr>
            <w:tcW w:w="0" w:type="auto"/>
            <w:shd w:val="clear" w:color="auto" w:fill="BFBFBF" w:themeFill="background1" w:themeFillShade="BF"/>
            <w:noWrap/>
            <w:vAlign w:val="center"/>
            <w:hideMark/>
          </w:tcPr>
          <w:p w:rsidR="00EF58A1" w:rsidRPr="000711C7" w:rsidRDefault="00EF58A1" w:rsidP="00F808E2">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 meas.</w:t>
            </w:r>
          </w:p>
        </w:tc>
        <w:tc>
          <w:tcPr>
            <w:tcW w:w="0" w:type="auto"/>
            <w:shd w:val="clear" w:color="auto" w:fill="BFBFBF" w:themeFill="background1" w:themeFillShade="BF"/>
            <w:noWrap/>
            <w:vAlign w:val="center"/>
            <w:hideMark/>
          </w:tcPr>
          <w:p w:rsidR="00EF58A1" w:rsidRPr="000711C7" w:rsidRDefault="00EF58A1" w:rsidP="00F808E2">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23.45 GHz</w:t>
            </w:r>
          </w:p>
        </w:tc>
        <w:tc>
          <w:tcPr>
            <w:tcW w:w="0" w:type="auto"/>
            <w:shd w:val="clear" w:color="auto" w:fill="BFBFBF" w:themeFill="background1" w:themeFillShade="BF"/>
            <w:noWrap/>
            <w:vAlign w:val="center"/>
            <w:hideMark/>
          </w:tcPr>
          <w:p w:rsidR="00EF58A1" w:rsidRPr="000711C7" w:rsidRDefault="00EF58A1" w:rsidP="00F808E2">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32.125 GHz</w:t>
            </w:r>
          </w:p>
        </w:tc>
        <w:tc>
          <w:tcPr>
            <w:tcW w:w="0" w:type="auto"/>
            <w:shd w:val="clear" w:color="auto" w:fill="BFBFBF" w:themeFill="background1" w:themeFillShade="BF"/>
            <w:noWrap/>
            <w:vAlign w:val="center"/>
            <w:hideMark/>
          </w:tcPr>
          <w:p w:rsidR="00EF58A1" w:rsidRPr="000711C7" w:rsidRDefault="00EF58A1" w:rsidP="00F808E2">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40.8 GHz</w:t>
            </w:r>
          </w:p>
        </w:tc>
        <w:tc>
          <w:tcPr>
            <w:tcW w:w="0" w:type="auto"/>
            <w:shd w:val="clear" w:color="auto" w:fill="BFBFBF" w:themeFill="background1" w:themeFillShade="BF"/>
            <w:noWrap/>
            <w:vAlign w:val="center"/>
            <w:hideMark/>
          </w:tcPr>
          <w:p w:rsidR="00EF58A1" w:rsidRPr="000711C7" w:rsidRDefault="00EF58A1" w:rsidP="00F808E2">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44.3 GHz</w:t>
            </w:r>
          </w:p>
        </w:tc>
        <w:tc>
          <w:tcPr>
            <w:tcW w:w="0" w:type="auto"/>
            <w:shd w:val="clear" w:color="auto" w:fill="BFBFBF" w:themeFill="background1" w:themeFillShade="BF"/>
            <w:vAlign w:val="center"/>
          </w:tcPr>
          <w:p w:rsidR="00EF58A1" w:rsidRPr="000711C7" w:rsidRDefault="00EF58A1" w:rsidP="009E1B54">
            <w:pPr>
              <w:spacing w:after="0" w:line="240" w:lineRule="auto"/>
              <w:jc w:val="center"/>
              <w:rPr>
                <w:rFonts w:asciiTheme="minorHAnsi" w:eastAsia="Times New Roman" w:hAnsiTheme="minorHAnsi" w:cstheme="minorHAnsi"/>
                <w:b/>
                <w:bCs/>
                <w:color w:val="000000"/>
                <w:sz w:val="18"/>
                <w:szCs w:val="18"/>
                <w:lang w:eastAsia="en-US"/>
              </w:rPr>
            </w:pPr>
            <w:r>
              <w:rPr>
                <w:rFonts w:asciiTheme="minorHAnsi" w:eastAsia="Times New Roman" w:hAnsiTheme="minorHAnsi" w:cstheme="minorHAnsi"/>
                <w:b/>
                <w:bCs/>
                <w:color w:val="000000"/>
                <w:sz w:val="18"/>
                <w:szCs w:val="18"/>
                <w:lang w:eastAsia="en-US"/>
              </w:rPr>
              <w:t>49 GHz</w:t>
            </w:r>
          </w:p>
        </w:tc>
      </w:tr>
      <w:tr w:rsidR="00AF5010" w:rsidRPr="001D7644" w:rsidTr="00AF5010">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rsidR="00AF5010" w:rsidRPr="00620C21" w:rsidRDefault="00AF5010" w:rsidP="00AF5010">
            <w:pPr>
              <w:spacing w:after="0" w:line="240" w:lineRule="auto"/>
              <w:jc w:val="center"/>
              <w:rPr>
                <w:rFonts w:asciiTheme="minorHAnsi" w:eastAsia="Times New Roman" w:hAnsiTheme="minorHAnsi" w:cstheme="minorHAnsi"/>
                <w:b/>
                <w:bCs/>
                <w:color w:val="000000"/>
                <w:sz w:val="18"/>
                <w:szCs w:val="18"/>
                <w:lang w:eastAsia="en-US"/>
              </w:rPr>
            </w:pPr>
            <w:r w:rsidRPr="00620C21">
              <w:rPr>
                <w:rFonts w:asciiTheme="minorHAnsi" w:hAnsiTheme="minorHAnsi" w:cstheme="minorHAnsi"/>
                <w:color w:val="000000"/>
                <w:sz w:val="18"/>
                <w:szCs w:val="18"/>
              </w:rPr>
              <w:t>P1 to P7</w:t>
            </w:r>
          </w:p>
        </w:tc>
        <w:tc>
          <w:tcPr>
            <w:tcW w:w="0" w:type="auto"/>
            <w:noWrap/>
            <w:vAlign w:val="center"/>
          </w:tcPr>
          <w:p w:rsidR="00AF5010" w:rsidRPr="00620C21" w:rsidRDefault="00AF5010" w:rsidP="00AF5010">
            <w:pPr>
              <w:spacing w:after="0" w:line="240" w:lineRule="auto"/>
              <w:jc w:val="center"/>
              <w:rPr>
                <w:rFonts w:asciiTheme="minorHAnsi" w:eastAsia="Times New Roman" w:hAnsiTheme="minorHAnsi" w:cstheme="minorHAnsi"/>
                <w:b/>
                <w:bCs/>
                <w:color w:val="000000"/>
                <w:sz w:val="18"/>
                <w:szCs w:val="18"/>
                <w:lang w:eastAsia="en-US"/>
              </w:rPr>
            </w:pPr>
            <w:r w:rsidRPr="00620C21">
              <w:rPr>
                <w:rFonts w:ascii="Calibri" w:hAnsi="Calibri" w:cs="Calibri"/>
                <w:color w:val="000000"/>
                <w:sz w:val="18"/>
                <w:szCs w:val="18"/>
              </w:rPr>
              <w:t>238</w:t>
            </w:r>
          </w:p>
        </w:tc>
        <w:tc>
          <w:tcPr>
            <w:tcW w:w="0" w:type="auto"/>
            <w:noWrap/>
            <w:vAlign w:val="center"/>
          </w:tcPr>
          <w:p w:rsidR="00AF5010" w:rsidRPr="00AF5010" w:rsidRDefault="00AF5010" w:rsidP="00AF5010">
            <w:pPr>
              <w:spacing w:after="0" w:line="240" w:lineRule="auto"/>
              <w:jc w:val="center"/>
              <w:rPr>
                <w:rFonts w:ascii="Calibri" w:hAnsi="Calibri" w:cs="Calibri"/>
                <w:color w:val="000000"/>
                <w:sz w:val="18"/>
                <w:szCs w:val="18"/>
              </w:rPr>
            </w:pPr>
            <w:r w:rsidRPr="00AF5010">
              <w:rPr>
                <w:rFonts w:ascii="Calibri" w:hAnsi="Calibri" w:cs="Calibri"/>
                <w:color w:val="000000"/>
                <w:sz w:val="18"/>
                <w:szCs w:val="18"/>
              </w:rPr>
              <w:t>0.60</w:t>
            </w:r>
          </w:p>
        </w:tc>
        <w:tc>
          <w:tcPr>
            <w:tcW w:w="0" w:type="auto"/>
            <w:noWrap/>
            <w:vAlign w:val="center"/>
          </w:tcPr>
          <w:p w:rsidR="00AF5010" w:rsidRPr="00AF5010" w:rsidRDefault="00AF5010" w:rsidP="00AF5010">
            <w:pPr>
              <w:spacing w:after="0" w:line="240" w:lineRule="auto"/>
              <w:jc w:val="center"/>
              <w:rPr>
                <w:rFonts w:ascii="Calibri" w:hAnsi="Calibri" w:cs="Calibri"/>
                <w:color w:val="000000"/>
                <w:sz w:val="18"/>
                <w:szCs w:val="18"/>
              </w:rPr>
            </w:pPr>
            <w:r w:rsidRPr="00AF5010">
              <w:rPr>
                <w:rFonts w:ascii="Calibri" w:hAnsi="Calibri" w:cs="Calibri"/>
                <w:color w:val="000000"/>
                <w:sz w:val="18"/>
                <w:szCs w:val="18"/>
              </w:rPr>
              <w:t>0.56</w:t>
            </w:r>
          </w:p>
        </w:tc>
        <w:tc>
          <w:tcPr>
            <w:tcW w:w="0" w:type="auto"/>
            <w:noWrap/>
            <w:vAlign w:val="center"/>
          </w:tcPr>
          <w:p w:rsidR="00AF5010" w:rsidRPr="00AF5010" w:rsidRDefault="00AF5010" w:rsidP="00AF5010">
            <w:pPr>
              <w:spacing w:after="0" w:line="240" w:lineRule="auto"/>
              <w:jc w:val="center"/>
              <w:rPr>
                <w:rFonts w:ascii="Calibri" w:hAnsi="Calibri" w:cs="Calibri"/>
                <w:color w:val="000000"/>
                <w:sz w:val="18"/>
                <w:szCs w:val="18"/>
              </w:rPr>
            </w:pPr>
            <w:r w:rsidRPr="00AF5010">
              <w:rPr>
                <w:rFonts w:ascii="Calibri" w:hAnsi="Calibri" w:cs="Calibri"/>
                <w:color w:val="000000"/>
                <w:sz w:val="18"/>
                <w:szCs w:val="18"/>
              </w:rPr>
              <w:t>0.57</w:t>
            </w:r>
          </w:p>
        </w:tc>
        <w:tc>
          <w:tcPr>
            <w:tcW w:w="0" w:type="auto"/>
            <w:noWrap/>
            <w:vAlign w:val="center"/>
          </w:tcPr>
          <w:p w:rsidR="00AF5010" w:rsidRPr="00AF5010" w:rsidRDefault="00AF5010" w:rsidP="00AF5010">
            <w:pPr>
              <w:spacing w:after="0" w:line="240" w:lineRule="auto"/>
              <w:jc w:val="center"/>
              <w:rPr>
                <w:rFonts w:ascii="Calibri" w:hAnsi="Calibri" w:cs="Calibri"/>
                <w:color w:val="000000"/>
                <w:sz w:val="18"/>
                <w:szCs w:val="18"/>
              </w:rPr>
            </w:pPr>
            <w:r w:rsidRPr="00AF5010">
              <w:rPr>
                <w:rFonts w:ascii="Calibri" w:hAnsi="Calibri" w:cs="Calibri"/>
                <w:color w:val="000000"/>
                <w:sz w:val="18"/>
                <w:szCs w:val="18"/>
              </w:rPr>
              <w:t>0.57</w:t>
            </w:r>
          </w:p>
        </w:tc>
        <w:tc>
          <w:tcPr>
            <w:tcW w:w="0" w:type="auto"/>
            <w:vAlign w:val="center"/>
          </w:tcPr>
          <w:p w:rsidR="00AF5010" w:rsidRPr="00AF5010" w:rsidRDefault="00AF5010" w:rsidP="00AF5010">
            <w:pPr>
              <w:spacing w:after="0" w:line="240" w:lineRule="auto"/>
              <w:jc w:val="center"/>
              <w:rPr>
                <w:rFonts w:ascii="Calibri" w:hAnsi="Calibri" w:cs="Calibri"/>
                <w:color w:val="000000"/>
                <w:sz w:val="18"/>
                <w:szCs w:val="18"/>
              </w:rPr>
            </w:pPr>
            <w:r w:rsidRPr="00AF5010">
              <w:rPr>
                <w:rFonts w:ascii="Calibri" w:hAnsi="Calibri" w:cs="Calibri"/>
                <w:color w:val="000000"/>
                <w:sz w:val="18"/>
                <w:szCs w:val="18"/>
              </w:rPr>
              <w:t>0.57</w:t>
            </w:r>
          </w:p>
        </w:tc>
      </w:tr>
      <w:tr w:rsidR="00AF5010" w:rsidRPr="00A72534" w:rsidTr="00AF5010">
        <w:trPr>
          <w:trHeight w:val="315"/>
          <w:jc w:val="center"/>
        </w:trPr>
        <w:tc>
          <w:tcPr>
            <w:tcW w:w="0" w:type="auto"/>
            <w:noWrap/>
            <w:vAlign w:val="center"/>
          </w:tcPr>
          <w:p w:rsidR="00AF5010" w:rsidRPr="001D7644" w:rsidRDefault="00AF5010" w:rsidP="00AF5010">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P1</w:t>
            </w:r>
          </w:p>
        </w:tc>
        <w:tc>
          <w:tcPr>
            <w:tcW w:w="0" w:type="auto"/>
            <w:noWrap/>
            <w:vAlign w:val="center"/>
          </w:tcPr>
          <w:p w:rsidR="00AF5010" w:rsidRPr="001D7644" w:rsidRDefault="00AF5010" w:rsidP="00AF5010">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Calibri" w:hAnsi="Calibri" w:cs="Calibri"/>
                <w:color w:val="000000"/>
                <w:sz w:val="18"/>
                <w:szCs w:val="18"/>
              </w:rPr>
              <w:t>34</w:t>
            </w:r>
          </w:p>
        </w:tc>
        <w:tc>
          <w:tcPr>
            <w:tcW w:w="0" w:type="auto"/>
            <w:noWrap/>
            <w:vAlign w:val="center"/>
          </w:tcPr>
          <w:p w:rsidR="00AF5010" w:rsidRPr="00AF5010" w:rsidRDefault="00AF5010" w:rsidP="00AF5010">
            <w:pPr>
              <w:spacing w:after="0" w:line="240" w:lineRule="auto"/>
              <w:jc w:val="center"/>
              <w:rPr>
                <w:rFonts w:ascii="Calibri" w:hAnsi="Calibri" w:cs="Calibri"/>
                <w:color w:val="000000"/>
                <w:sz w:val="18"/>
                <w:szCs w:val="18"/>
              </w:rPr>
            </w:pPr>
            <w:r w:rsidRPr="00AF5010">
              <w:rPr>
                <w:rFonts w:ascii="Calibri" w:hAnsi="Calibri" w:cs="Calibri"/>
                <w:color w:val="000000"/>
                <w:sz w:val="18"/>
                <w:szCs w:val="18"/>
              </w:rPr>
              <w:t>0.20</w:t>
            </w:r>
          </w:p>
        </w:tc>
        <w:tc>
          <w:tcPr>
            <w:tcW w:w="0" w:type="auto"/>
            <w:noWrap/>
            <w:vAlign w:val="center"/>
          </w:tcPr>
          <w:p w:rsidR="00AF5010" w:rsidRPr="00AF5010" w:rsidRDefault="00AF5010" w:rsidP="00AF5010">
            <w:pPr>
              <w:spacing w:after="0" w:line="240" w:lineRule="auto"/>
              <w:jc w:val="center"/>
              <w:rPr>
                <w:rFonts w:ascii="Calibri" w:hAnsi="Calibri" w:cs="Calibri"/>
                <w:color w:val="000000"/>
                <w:sz w:val="18"/>
                <w:szCs w:val="18"/>
              </w:rPr>
            </w:pPr>
            <w:r w:rsidRPr="00AF5010">
              <w:rPr>
                <w:rFonts w:ascii="Calibri" w:hAnsi="Calibri" w:cs="Calibri"/>
                <w:color w:val="000000"/>
                <w:sz w:val="18"/>
                <w:szCs w:val="18"/>
              </w:rPr>
              <w:t>0.14</w:t>
            </w:r>
          </w:p>
        </w:tc>
        <w:tc>
          <w:tcPr>
            <w:tcW w:w="0" w:type="auto"/>
            <w:noWrap/>
            <w:vAlign w:val="center"/>
          </w:tcPr>
          <w:p w:rsidR="00AF5010" w:rsidRPr="00AF5010" w:rsidRDefault="00AF5010" w:rsidP="00AF5010">
            <w:pPr>
              <w:spacing w:after="0" w:line="240" w:lineRule="auto"/>
              <w:jc w:val="center"/>
              <w:rPr>
                <w:rFonts w:ascii="Calibri" w:hAnsi="Calibri" w:cs="Calibri"/>
                <w:color w:val="000000"/>
                <w:sz w:val="18"/>
                <w:szCs w:val="18"/>
              </w:rPr>
            </w:pPr>
            <w:r w:rsidRPr="00AF5010">
              <w:rPr>
                <w:rFonts w:ascii="Calibri" w:hAnsi="Calibri" w:cs="Calibri"/>
                <w:color w:val="000000"/>
                <w:sz w:val="18"/>
                <w:szCs w:val="18"/>
              </w:rPr>
              <w:t>0.29</w:t>
            </w:r>
          </w:p>
        </w:tc>
        <w:tc>
          <w:tcPr>
            <w:tcW w:w="0" w:type="auto"/>
            <w:noWrap/>
            <w:vAlign w:val="center"/>
          </w:tcPr>
          <w:p w:rsidR="00AF5010" w:rsidRPr="00AF5010" w:rsidRDefault="00AF5010" w:rsidP="00AF5010">
            <w:pPr>
              <w:spacing w:after="0" w:line="240" w:lineRule="auto"/>
              <w:jc w:val="center"/>
              <w:rPr>
                <w:rFonts w:ascii="Calibri" w:hAnsi="Calibri" w:cs="Calibri"/>
                <w:color w:val="000000"/>
                <w:sz w:val="18"/>
                <w:szCs w:val="18"/>
              </w:rPr>
            </w:pPr>
            <w:r w:rsidRPr="00AF5010">
              <w:rPr>
                <w:rFonts w:ascii="Calibri" w:hAnsi="Calibri" w:cs="Calibri"/>
                <w:color w:val="000000"/>
                <w:sz w:val="18"/>
                <w:szCs w:val="18"/>
              </w:rPr>
              <w:t>0.22</w:t>
            </w:r>
          </w:p>
        </w:tc>
        <w:tc>
          <w:tcPr>
            <w:tcW w:w="0" w:type="auto"/>
            <w:vAlign w:val="center"/>
          </w:tcPr>
          <w:p w:rsidR="00AF5010" w:rsidRPr="00AF5010" w:rsidRDefault="00AF5010" w:rsidP="00AF5010">
            <w:pPr>
              <w:spacing w:after="0" w:line="240" w:lineRule="auto"/>
              <w:jc w:val="center"/>
              <w:rPr>
                <w:rFonts w:ascii="Calibri" w:hAnsi="Calibri" w:cs="Calibri"/>
                <w:color w:val="000000"/>
                <w:sz w:val="18"/>
                <w:szCs w:val="18"/>
              </w:rPr>
            </w:pPr>
            <w:r w:rsidRPr="00AF5010">
              <w:rPr>
                <w:rFonts w:ascii="Calibri" w:hAnsi="Calibri" w:cs="Calibri"/>
                <w:color w:val="000000"/>
                <w:sz w:val="18"/>
                <w:szCs w:val="18"/>
              </w:rPr>
              <w:t>0.28</w:t>
            </w:r>
          </w:p>
        </w:tc>
      </w:tr>
    </w:tbl>
    <w:p w:rsidR="009E1B54" w:rsidRDefault="009E1B54" w:rsidP="00150BD1">
      <w:pPr>
        <w:rPr>
          <w:lang w:eastAsia="en-US"/>
        </w:rPr>
      </w:pPr>
    </w:p>
    <w:p w:rsidR="00D3797F" w:rsidRDefault="00D3797F" w:rsidP="00D3797F">
      <w:pPr>
        <w:jc w:val="both"/>
        <w:rPr>
          <w:rFonts w:eastAsia="Calibri" w:cs="Times New Roman"/>
          <w:b/>
          <w:bCs/>
          <w:sz w:val="18"/>
          <w:szCs w:val="18"/>
          <w:lang w:eastAsia="en-US"/>
        </w:rPr>
      </w:pPr>
      <w:r>
        <w:rPr>
          <w:lang w:eastAsia="en-US"/>
        </w:rPr>
        <w:t xml:space="preserve">In </w:t>
      </w:r>
      <w:r>
        <w:rPr>
          <w:lang w:eastAsia="en-US"/>
        </w:rPr>
        <w:fldChar w:fldCharType="begin"/>
      </w:r>
      <w:r>
        <w:rPr>
          <w:lang w:eastAsia="en-US"/>
        </w:rPr>
        <w:instrText xml:space="preserve"> REF _Ref117689238 \h </w:instrText>
      </w:r>
      <w:r>
        <w:rPr>
          <w:lang w:eastAsia="en-US"/>
        </w:rPr>
      </w:r>
      <w:r>
        <w:rPr>
          <w:lang w:eastAsia="en-US"/>
        </w:rPr>
        <w:fldChar w:fldCharType="separate"/>
      </w:r>
      <w:r w:rsidR="00B430D4" w:rsidRPr="003E2348">
        <w:t xml:space="preserve">Table </w:t>
      </w:r>
      <w:r w:rsidR="00B430D4">
        <w:rPr>
          <w:noProof/>
        </w:rPr>
        <w:t>2</w:t>
      </w:r>
      <w:r w:rsidR="00B430D4" w:rsidRPr="003E2348">
        <w:noBreakHyphen/>
      </w:r>
      <w:r w:rsidR="00B430D4">
        <w:rPr>
          <w:noProof/>
        </w:rPr>
        <w:t>4</w:t>
      </w:r>
      <w:r>
        <w:rPr>
          <w:lang w:eastAsia="en-US"/>
        </w:rPr>
        <w:fldChar w:fldCharType="end"/>
      </w:r>
      <w:r w:rsidR="00021891">
        <w:rPr>
          <w:lang w:eastAsia="en-US"/>
        </w:rPr>
        <w:t xml:space="preserve"> and </w:t>
      </w:r>
      <w:r w:rsidR="001D7C88">
        <w:rPr>
          <w:lang w:eastAsia="en-US"/>
        </w:rPr>
        <w:fldChar w:fldCharType="begin"/>
      </w:r>
      <w:r w:rsidR="001D7C88">
        <w:rPr>
          <w:lang w:eastAsia="en-US"/>
        </w:rPr>
        <w:instrText xml:space="preserve"> REF _Ref158382477 \h </w:instrText>
      </w:r>
      <w:r w:rsidR="001D7C88">
        <w:rPr>
          <w:lang w:eastAsia="en-US"/>
        </w:rPr>
      </w:r>
      <w:r w:rsidR="001D7C88">
        <w:rPr>
          <w:lang w:eastAsia="en-US"/>
        </w:rPr>
        <w:fldChar w:fldCharType="separate"/>
      </w:r>
      <w:r w:rsidR="00B430D4" w:rsidRPr="003E2348">
        <w:t xml:space="preserve">Table </w:t>
      </w:r>
      <w:r w:rsidR="00B430D4">
        <w:rPr>
          <w:noProof/>
        </w:rPr>
        <w:t>2</w:t>
      </w:r>
      <w:r w:rsidR="00B430D4" w:rsidRPr="003E2348">
        <w:noBreakHyphen/>
      </w:r>
      <w:r w:rsidR="00B430D4">
        <w:rPr>
          <w:noProof/>
        </w:rPr>
        <w:t>5</w:t>
      </w:r>
      <w:r w:rsidR="001D7C88">
        <w:rPr>
          <w:lang w:eastAsia="en-US"/>
        </w:rPr>
        <w:fldChar w:fldCharType="end"/>
      </w:r>
      <w:r>
        <w:rPr>
          <w:lang w:eastAsia="en-US"/>
        </w:rPr>
        <w:t xml:space="preserve">, a summarized view of the QoQZ MU target value per frequency used in TR 38.903 </w:t>
      </w:r>
      <w:r w:rsidR="001D7C88">
        <w:rPr>
          <w:lang w:eastAsia="en-US"/>
        </w:rPr>
        <w:fldChar w:fldCharType="begin"/>
      </w:r>
      <w:r w:rsidR="001D7C88">
        <w:rPr>
          <w:lang w:eastAsia="en-US"/>
        </w:rPr>
        <w:instrText xml:space="preserve"> REF _Ref158382401 \r \h </w:instrText>
      </w:r>
      <w:r w:rsidR="001D7C88">
        <w:rPr>
          <w:lang w:eastAsia="en-US"/>
        </w:rPr>
      </w:r>
      <w:r w:rsidR="001D7C88">
        <w:rPr>
          <w:lang w:eastAsia="en-US"/>
        </w:rPr>
        <w:fldChar w:fldCharType="separate"/>
      </w:r>
      <w:r w:rsidR="00B430D4">
        <w:rPr>
          <w:lang w:eastAsia="en-US"/>
        </w:rPr>
        <w:t>[3]</w:t>
      </w:r>
      <w:r w:rsidR="001D7C88">
        <w:rPr>
          <w:lang w:eastAsia="en-US"/>
        </w:rPr>
        <w:fldChar w:fldCharType="end"/>
      </w:r>
      <w:r>
        <w:rPr>
          <w:lang w:eastAsia="en-US"/>
        </w:rPr>
        <w:t xml:space="preserve"> is presented:</w:t>
      </w:r>
      <w:bookmarkStart w:id="5" w:name="_Ref110350907"/>
    </w:p>
    <w:p w:rsidR="00D3797F" w:rsidRDefault="00D3797F" w:rsidP="00D3797F">
      <w:pPr>
        <w:pStyle w:val="Caption"/>
      </w:pPr>
      <w:bookmarkStart w:id="6" w:name="_Ref117689238"/>
      <w:r w:rsidRPr="003E2348">
        <w:t xml:space="preserve">Table </w:t>
      </w:r>
      <w:r w:rsidRPr="003E2348">
        <w:fldChar w:fldCharType="begin"/>
      </w:r>
      <w:r w:rsidRPr="003E2348">
        <w:instrText xml:space="preserve"> STYLEREF 1 \s </w:instrText>
      </w:r>
      <w:r w:rsidRPr="003E2348">
        <w:fldChar w:fldCharType="separate"/>
      </w:r>
      <w:r w:rsidR="00B430D4">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B430D4">
        <w:rPr>
          <w:noProof/>
        </w:rPr>
        <w:t>4</w:t>
      </w:r>
      <w:r w:rsidRPr="003E2348">
        <w:fldChar w:fldCharType="end"/>
      </w:r>
      <w:bookmarkEnd w:id="5"/>
      <w:bookmarkEnd w:id="6"/>
      <w:r w:rsidRPr="003E2348">
        <w:t xml:space="preserve">: </w:t>
      </w:r>
      <w:r>
        <w:t xml:space="preserve">EIRP and TRP QoQZ MU target value for 30cm QZ </w:t>
      </w:r>
    </w:p>
    <w:tbl>
      <w:tblPr>
        <w:tblStyle w:val="GridTable5Dark-Accent3"/>
        <w:tblW w:w="2832" w:type="pct"/>
        <w:jc w:val="center"/>
        <w:tblLook w:val="0400" w:firstRow="0" w:lastRow="0" w:firstColumn="0" w:lastColumn="0" w:noHBand="0" w:noVBand="1"/>
      </w:tblPr>
      <w:tblGrid>
        <w:gridCol w:w="1507"/>
        <w:gridCol w:w="970"/>
        <w:gridCol w:w="1061"/>
        <w:gridCol w:w="879"/>
        <w:gridCol w:w="879"/>
      </w:tblGrid>
      <w:tr w:rsidR="00D3797F" w:rsidRPr="00A72534" w:rsidTr="00F808E2">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rsidR="00D3797F" w:rsidRDefault="00D3797F" w:rsidP="00F808E2">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rsidR="00D3797F" w:rsidRPr="000711C7" w:rsidRDefault="00D3797F" w:rsidP="00F808E2">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D3797F" w:rsidRPr="00A72534" w:rsidTr="00F808E2">
        <w:trPr>
          <w:trHeight w:val="315"/>
          <w:jc w:val="center"/>
        </w:trPr>
        <w:tc>
          <w:tcPr>
            <w:tcW w:w="0" w:type="auto"/>
            <w:shd w:val="clear" w:color="auto" w:fill="BFBFBF" w:themeFill="background1" w:themeFillShade="BF"/>
            <w:noWrap/>
            <w:vAlign w:val="center"/>
            <w:hideMark/>
          </w:tcPr>
          <w:p w:rsidR="00D3797F" w:rsidRPr="000711C7" w:rsidRDefault="00D3797F" w:rsidP="00F808E2">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Stage</w:t>
            </w:r>
          </w:p>
        </w:tc>
        <w:tc>
          <w:tcPr>
            <w:tcW w:w="0" w:type="auto"/>
            <w:shd w:val="clear" w:color="auto" w:fill="BFBFBF" w:themeFill="background1" w:themeFillShade="BF"/>
            <w:noWrap/>
            <w:vAlign w:val="center"/>
            <w:hideMark/>
          </w:tcPr>
          <w:p w:rsidR="00D3797F" w:rsidRPr="000711C7" w:rsidRDefault="00D3797F" w:rsidP="00F808E2">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rsidR="00D3797F" w:rsidRPr="000711C7" w:rsidRDefault="00D3797F" w:rsidP="00F808E2">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rsidR="00D3797F" w:rsidRPr="000711C7" w:rsidRDefault="00D3797F" w:rsidP="00F808E2">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rsidR="00D3797F" w:rsidRPr="000711C7" w:rsidRDefault="00D3797F" w:rsidP="00F808E2">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D3797F" w:rsidRPr="00A72534" w:rsidTr="00F808E2">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rsidR="00D3797F" w:rsidRPr="00A72534" w:rsidRDefault="00D3797F" w:rsidP="00F808E2">
            <w:pPr>
              <w:spacing w:after="0" w:line="240" w:lineRule="auto"/>
              <w:jc w:val="center"/>
              <w:rPr>
                <w:rFonts w:ascii="Calibri" w:hAnsi="Calibri" w:cs="Calibri"/>
                <w:color w:val="000000"/>
                <w:sz w:val="18"/>
                <w:szCs w:val="18"/>
              </w:rPr>
            </w:pPr>
            <w:r>
              <w:rPr>
                <w:rFonts w:ascii="Calibri" w:hAnsi="Calibri" w:cs="Calibri"/>
                <w:color w:val="000000"/>
                <w:sz w:val="18"/>
                <w:szCs w:val="18"/>
              </w:rPr>
              <w:t>Stage 2 (</w:t>
            </w:r>
            <w:r w:rsidRPr="00A72534">
              <w:rPr>
                <w:rFonts w:ascii="Calibri" w:hAnsi="Calibri" w:cs="Calibri"/>
                <w:color w:val="000000"/>
                <w:sz w:val="18"/>
                <w:szCs w:val="18"/>
              </w:rPr>
              <w:t>P1 to P7</w:t>
            </w:r>
            <w:r>
              <w:rPr>
                <w:rFonts w:ascii="Calibri" w:hAnsi="Calibri" w:cs="Calibri"/>
                <w:color w:val="000000"/>
                <w:sz w:val="18"/>
                <w:szCs w:val="18"/>
              </w:rPr>
              <w:t>)</w:t>
            </w:r>
          </w:p>
        </w:tc>
        <w:tc>
          <w:tcPr>
            <w:tcW w:w="0" w:type="auto"/>
            <w:noWrap/>
            <w:vAlign w:val="center"/>
          </w:tcPr>
          <w:p w:rsidR="00D3797F" w:rsidRPr="00A72534" w:rsidRDefault="00D3797F" w:rsidP="00F808E2">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w:t>
            </w:r>
            <w:r>
              <w:rPr>
                <w:rFonts w:ascii="Calibri" w:hAnsi="Calibri" w:cs="Calibri"/>
                <w:color w:val="000000"/>
                <w:sz w:val="18"/>
                <w:szCs w:val="18"/>
              </w:rPr>
              <w:t>0</w:t>
            </w:r>
          </w:p>
        </w:tc>
        <w:tc>
          <w:tcPr>
            <w:tcW w:w="0" w:type="auto"/>
            <w:noWrap/>
            <w:vAlign w:val="center"/>
          </w:tcPr>
          <w:p w:rsidR="00D3797F" w:rsidRPr="00A72534" w:rsidRDefault="00D3797F" w:rsidP="00F808E2">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0.60</w:t>
            </w:r>
          </w:p>
        </w:tc>
        <w:tc>
          <w:tcPr>
            <w:tcW w:w="0" w:type="auto"/>
            <w:noWrap/>
            <w:vAlign w:val="center"/>
          </w:tcPr>
          <w:p w:rsidR="00D3797F" w:rsidRPr="00A72534" w:rsidRDefault="00D3797F" w:rsidP="00F808E2">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0.60</w:t>
            </w:r>
          </w:p>
        </w:tc>
        <w:tc>
          <w:tcPr>
            <w:tcW w:w="0" w:type="auto"/>
            <w:noWrap/>
            <w:vAlign w:val="center"/>
          </w:tcPr>
          <w:p w:rsidR="00D3797F" w:rsidRPr="00A72534" w:rsidRDefault="00D3797F" w:rsidP="00F808E2">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0.70</w:t>
            </w:r>
          </w:p>
        </w:tc>
      </w:tr>
      <w:tr w:rsidR="00D3797F" w:rsidRPr="00A72534" w:rsidTr="00F808E2">
        <w:trPr>
          <w:trHeight w:val="315"/>
          <w:jc w:val="center"/>
        </w:trPr>
        <w:tc>
          <w:tcPr>
            <w:tcW w:w="0" w:type="auto"/>
            <w:noWrap/>
            <w:vAlign w:val="center"/>
          </w:tcPr>
          <w:p w:rsidR="00D3797F" w:rsidRPr="00A72534" w:rsidRDefault="00D3797F" w:rsidP="00F808E2">
            <w:pPr>
              <w:spacing w:after="0" w:line="240" w:lineRule="auto"/>
              <w:jc w:val="center"/>
              <w:rPr>
                <w:rFonts w:ascii="Calibri" w:hAnsi="Calibri" w:cs="Calibri"/>
                <w:color w:val="000000"/>
                <w:sz w:val="18"/>
                <w:szCs w:val="18"/>
              </w:rPr>
            </w:pPr>
            <w:r>
              <w:rPr>
                <w:rFonts w:ascii="Calibri" w:hAnsi="Calibri" w:cs="Calibri"/>
                <w:color w:val="000000"/>
                <w:sz w:val="18"/>
                <w:szCs w:val="18"/>
              </w:rPr>
              <w:t>Stage 1 (</w:t>
            </w:r>
            <w:r w:rsidRPr="00A72534">
              <w:rPr>
                <w:rFonts w:ascii="Calibri" w:hAnsi="Calibri" w:cs="Calibri"/>
                <w:color w:val="000000"/>
                <w:sz w:val="18"/>
                <w:szCs w:val="18"/>
              </w:rPr>
              <w:t>P1</w:t>
            </w:r>
            <w:r>
              <w:rPr>
                <w:rFonts w:ascii="Calibri" w:hAnsi="Calibri" w:cs="Calibri"/>
                <w:color w:val="000000"/>
                <w:sz w:val="18"/>
                <w:szCs w:val="18"/>
              </w:rPr>
              <w:t>)</w:t>
            </w:r>
          </w:p>
        </w:tc>
        <w:tc>
          <w:tcPr>
            <w:tcW w:w="0" w:type="auto"/>
            <w:noWrap/>
            <w:vAlign w:val="center"/>
          </w:tcPr>
          <w:p w:rsidR="00D3797F" w:rsidRPr="00A72534" w:rsidRDefault="00D3797F" w:rsidP="00F808E2">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rsidR="00D3797F" w:rsidRPr="00A72534" w:rsidRDefault="00D3797F" w:rsidP="00F808E2">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rsidR="00D3797F" w:rsidRPr="00A72534" w:rsidRDefault="00D3797F" w:rsidP="00F808E2">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rsidR="00D3797F" w:rsidRPr="00A72534" w:rsidRDefault="00D3797F" w:rsidP="00F808E2">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0.50</w:t>
            </w:r>
          </w:p>
        </w:tc>
      </w:tr>
    </w:tbl>
    <w:p w:rsidR="00D3797F" w:rsidRDefault="00D3797F" w:rsidP="00150BD1">
      <w:pPr>
        <w:rPr>
          <w:lang w:eastAsia="en-US"/>
        </w:rPr>
      </w:pPr>
    </w:p>
    <w:p w:rsidR="00021891" w:rsidRDefault="00021891" w:rsidP="00021891">
      <w:pPr>
        <w:pStyle w:val="Caption"/>
      </w:pPr>
      <w:bookmarkStart w:id="7" w:name="_Ref158382477"/>
      <w:r w:rsidRPr="003E2348">
        <w:t xml:space="preserve">Table </w:t>
      </w:r>
      <w:r w:rsidRPr="003E2348">
        <w:fldChar w:fldCharType="begin"/>
      </w:r>
      <w:r w:rsidRPr="003E2348">
        <w:instrText xml:space="preserve"> STYLEREF 1 \s </w:instrText>
      </w:r>
      <w:r w:rsidRPr="003E2348">
        <w:fldChar w:fldCharType="separate"/>
      </w:r>
      <w:r w:rsidR="00B430D4">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B430D4">
        <w:rPr>
          <w:noProof/>
        </w:rPr>
        <w:t>5</w:t>
      </w:r>
      <w:r w:rsidRPr="003E2348">
        <w:fldChar w:fldCharType="end"/>
      </w:r>
      <w:bookmarkEnd w:id="7"/>
      <w:r w:rsidRPr="003E2348">
        <w:t xml:space="preserve">: </w:t>
      </w:r>
      <w:r>
        <w:t xml:space="preserve">EIRP and TRP QoQZ MU target value for 40cm QZ </w:t>
      </w:r>
    </w:p>
    <w:tbl>
      <w:tblPr>
        <w:tblStyle w:val="GridTable5Dark-Accent3"/>
        <w:tblW w:w="2832" w:type="pct"/>
        <w:jc w:val="center"/>
        <w:tblLook w:val="0400" w:firstRow="0" w:lastRow="0" w:firstColumn="0" w:lastColumn="0" w:noHBand="0" w:noVBand="1"/>
      </w:tblPr>
      <w:tblGrid>
        <w:gridCol w:w="1507"/>
        <w:gridCol w:w="970"/>
        <w:gridCol w:w="1061"/>
        <w:gridCol w:w="879"/>
        <w:gridCol w:w="879"/>
      </w:tblGrid>
      <w:tr w:rsidR="00021891" w:rsidRPr="00A72534" w:rsidTr="00F808E2">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rsidR="00021891" w:rsidRDefault="00021891" w:rsidP="00F808E2">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rsidR="00021891" w:rsidRPr="000711C7" w:rsidRDefault="00021891" w:rsidP="00F808E2">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021891" w:rsidRPr="00A72534" w:rsidTr="00F808E2">
        <w:trPr>
          <w:trHeight w:val="315"/>
          <w:jc w:val="center"/>
        </w:trPr>
        <w:tc>
          <w:tcPr>
            <w:tcW w:w="0" w:type="auto"/>
            <w:shd w:val="clear" w:color="auto" w:fill="BFBFBF" w:themeFill="background1" w:themeFillShade="BF"/>
            <w:noWrap/>
            <w:vAlign w:val="center"/>
            <w:hideMark/>
          </w:tcPr>
          <w:p w:rsidR="00021891" w:rsidRPr="000711C7" w:rsidRDefault="00021891" w:rsidP="00F808E2">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Stage</w:t>
            </w:r>
          </w:p>
        </w:tc>
        <w:tc>
          <w:tcPr>
            <w:tcW w:w="0" w:type="auto"/>
            <w:shd w:val="clear" w:color="auto" w:fill="BFBFBF" w:themeFill="background1" w:themeFillShade="BF"/>
            <w:noWrap/>
            <w:vAlign w:val="center"/>
            <w:hideMark/>
          </w:tcPr>
          <w:p w:rsidR="00021891" w:rsidRPr="000711C7" w:rsidRDefault="00021891" w:rsidP="00F808E2">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rsidR="00021891" w:rsidRPr="000711C7" w:rsidRDefault="00021891" w:rsidP="00F808E2">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rsidR="00021891" w:rsidRPr="000711C7" w:rsidRDefault="00021891" w:rsidP="00F808E2">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rsidR="00021891" w:rsidRPr="000711C7" w:rsidRDefault="00021891" w:rsidP="00F808E2">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021891" w:rsidRPr="00A72534" w:rsidTr="00F808E2">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rsidR="00021891" w:rsidRPr="00A72534" w:rsidRDefault="00021891" w:rsidP="00F808E2">
            <w:pPr>
              <w:spacing w:after="0" w:line="240" w:lineRule="auto"/>
              <w:jc w:val="center"/>
              <w:rPr>
                <w:rFonts w:ascii="Calibri" w:hAnsi="Calibri" w:cs="Calibri"/>
                <w:color w:val="000000"/>
                <w:sz w:val="18"/>
                <w:szCs w:val="18"/>
              </w:rPr>
            </w:pPr>
            <w:r>
              <w:rPr>
                <w:rFonts w:ascii="Calibri" w:hAnsi="Calibri" w:cs="Calibri"/>
                <w:color w:val="000000"/>
                <w:sz w:val="18"/>
                <w:szCs w:val="18"/>
              </w:rPr>
              <w:t>Stage 2 (</w:t>
            </w:r>
            <w:r w:rsidRPr="00A72534">
              <w:rPr>
                <w:rFonts w:ascii="Calibri" w:hAnsi="Calibri" w:cs="Calibri"/>
                <w:color w:val="000000"/>
                <w:sz w:val="18"/>
                <w:szCs w:val="18"/>
              </w:rPr>
              <w:t>P1 to P7</w:t>
            </w:r>
            <w:r>
              <w:rPr>
                <w:rFonts w:ascii="Calibri" w:hAnsi="Calibri" w:cs="Calibri"/>
                <w:color w:val="000000"/>
                <w:sz w:val="18"/>
                <w:szCs w:val="18"/>
              </w:rPr>
              <w:t>)</w:t>
            </w:r>
          </w:p>
        </w:tc>
        <w:tc>
          <w:tcPr>
            <w:tcW w:w="0" w:type="auto"/>
            <w:noWrap/>
            <w:vAlign w:val="center"/>
          </w:tcPr>
          <w:p w:rsidR="00021891" w:rsidRPr="00A72534" w:rsidRDefault="00021891" w:rsidP="00F808E2">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w:t>
            </w:r>
            <w:r w:rsidR="006F3A5A">
              <w:rPr>
                <w:rFonts w:ascii="Calibri" w:hAnsi="Calibri" w:cs="Calibri"/>
                <w:color w:val="000000"/>
                <w:sz w:val="18"/>
                <w:szCs w:val="18"/>
              </w:rPr>
              <w:t>70</w:t>
            </w:r>
          </w:p>
        </w:tc>
        <w:tc>
          <w:tcPr>
            <w:tcW w:w="0" w:type="auto"/>
            <w:noWrap/>
            <w:vAlign w:val="center"/>
          </w:tcPr>
          <w:p w:rsidR="00021891" w:rsidRPr="00A72534" w:rsidRDefault="006F3A5A" w:rsidP="00F808E2">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w:t>
            </w:r>
            <w:r>
              <w:rPr>
                <w:rFonts w:ascii="Calibri" w:hAnsi="Calibri" w:cs="Calibri"/>
                <w:color w:val="000000"/>
                <w:sz w:val="18"/>
                <w:szCs w:val="18"/>
              </w:rPr>
              <w:t>70</w:t>
            </w:r>
          </w:p>
        </w:tc>
        <w:tc>
          <w:tcPr>
            <w:tcW w:w="0" w:type="auto"/>
            <w:noWrap/>
            <w:vAlign w:val="center"/>
          </w:tcPr>
          <w:p w:rsidR="00021891" w:rsidRPr="00A72534" w:rsidRDefault="006F3A5A" w:rsidP="00F808E2">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w:t>
            </w:r>
            <w:r>
              <w:rPr>
                <w:rFonts w:ascii="Calibri" w:hAnsi="Calibri" w:cs="Calibri"/>
                <w:color w:val="000000"/>
                <w:sz w:val="18"/>
                <w:szCs w:val="18"/>
              </w:rPr>
              <w:t>70</w:t>
            </w:r>
          </w:p>
        </w:tc>
        <w:tc>
          <w:tcPr>
            <w:tcW w:w="0" w:type="auto"/>
            <w:noWrap/>
            <w:vAlign w:val="center"/>
          </w:tcPr>
          <w:p w:rsidR="00021891" w:rsidRPr="00A72534" w:rsidRDefault="006F3A5A" w:rsidP="00F808E2">
            <w:pPr>
              <w:spacing w:after="0" w:line="240" w:lineRule="auto"/>
              <w:jc w:val="center"/>
              <w:rPr>
                <w:rFonts w:ascii="Calibri" w:hAnsi="Calibri" w:cs="Calibri"/>
                <w:color w:val="000000"/>
                <w:sz w:val="18"/>
                <w:szCs w:val="18"/>
              </w:rPr>
            </w:pPr>
            <w:r>
              <w:rPr>
                <w:rFonts w:ascii="Calibri" w:hAnsi="Calibri" w:cs="Calibri"/>
                <w:color w:val="000000"/>
                <w:sz w:val="18"/>
                <w:szCs w:val="18"/>
              </w:rPr>
              <w:t>0.80</w:t>
            </w:r>
          </w:p>
        </w:tc>
      </w:tr>
      <w:tr w:rsidR="00021891" w:rsidRPr="00A72534" w:rsidTr="00F808E2">
        <w:trPr>
          <w:trHeight w:val="315"/>
          <w:jc w:val="center"/>
        </w:trPr>
        <w:tc>
          <w:tcPr>
            <w:tcW w:w="0" w:type="auto"/>
            <w:noWrap/>
            <w:vAlign w:val="center"/>
          </w:tcPr>
          <w:p w:rsidR="00021891" w:rsidRPr="00A72534" w:rsidRDefault="00021891" w:rsidP="00F808E2">
            <w:pPr>
              <w:spacing w:after="0" w:line="240" w:lineRule="auto"/>
              <w:jc w:val="center"/>
              <w:rPr>
                <w:rFonts w:ascii="Calibri" w:hAnsi="Calibri" w:cs="Calibri"/>
                <w:color w:val="000000"/>
                <w:sz w:val="18"/>
                <w:szCs w:val="18"/>
              </w:rPr>
            </w:pPr>
            <w:r>
              <w:rPr>
                <w:rFonts w:ascii="Calibri" w:hAnsi="Calibri" w:cs="Calibri"/>
                <w:color w:val="000000"/>
                <w:sz w:val="18"/>
                <w:szCs w:val="18"/>
              </w:rPr>
              <w:t>Stage 1 (</w:t>
            </w:r>
            <w:r w:rsidRPr="00A72534">
              <w:rPr>
                <w:rFonts w:ascii="Calibri" w:hAnsi="Calibri" w:cs="Calibri"/>
                <w:color w:val="000000"/>
                <w:sz w:val="18"/>
                <w:szCs w:val="18"/>
              </w:rPr>
              <w:t>P1</w:t>
            </w:r>
            <w:r>
              <w:rPr>
                <w:rFonts w:ascii="Calibri" w:hAnsi="Calibri" w:cs="Calibri"/>
                <w:color w:val="000000"/>
                <w:sz w:val="18"/>
                <w:szCs w:val="18"/>
              </w:rPr>
              <w:t>)</w:t>
            </w:r>
          </w:p>
        </w:tc>
        <w:tc>
          <w:tcPr>
            <w:tcW w:w="0" w:type="auto"/>
            <w:noWrap/>
            <w:vAlign w:val="center"/>
          </w:tcPr>
          <w:p w:rsidR="00021891" w:rsidRPr="00A72534" w:rsidRDefault="00021891" w:rsidP="00F808E2">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rsidR="00021891" w:rsidRPr="00A72534" w:rsidRDefault="00021891" w:rsidP="00F808E2">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rsidR="00021891" w:rsidRPr="00A72534" w:rsidRDefault="00021891" w:rsidP="00F808E2">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rsidR="00021891" w:rsidRPr="00A72534" w:rsidRDefault="00021891" w:rsidP="00F808E2">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0.50</w:t>
            </w:r>
          </w:p>
        </w:tc>
      </w:tr>
    </w:tbl>
    <w:p w:rsidR="00021891" w:rsidRDefault="00021891" w:rsidP="00150BD1">
      <w:pPr>
        <w:rPr>
          <w:lang w:eastAsia="en-US"/>
        </w:rPr>
      </w:pPr>
    </w:p>
    <w:p w:rsidR="00021891" w:rsidRDefault="00021891" w:rsidP="00150BD1">
      <w:r>
        <w:rPr>
          <w:lang w:eastAsia="en-US"/>
        </w:rPr>
        <w:t>It has to be noted, that f</w:t>
      </w:r>
      <w:r>
        <w:t xml:space="preserve">or </w:t>
      </w:r>
      <w:r w:rsidRPr="009709C5">
        <w:rPr>
          <w:lang w:eastAsia="ja-JP"/>
        </w:rPr>
        <w:t>U</w:t>
      </w:r>
      <w:r w:rsidRPr="009709C5">
        <w:t xml:space="preserve">ncertainty assessment </w:t>
      </w:r>
      <w:r>
        <w:t>in tables across clause B in TR 38.903</w:t>
      </w:r>
      <w:r w:rsidR="001D7C88">
        <w:t xml:space="preserve"> </w:t>
      </w:r>
      <w:r w:rsidR="001D7C88">
        <w:fldChar w:fldCharType="begin"/>
      </w:r>
      <w:r w:rsidR="001D7C88">
        <w:instrText xml:space="preserve"> REF _Ref158382401 \r \h </w:instrText>
      </w:r>
      <w:r w:rsidR="001D7C88">
        <w:fldChar w:fldCharType="separate"/>
      </w:r>
      <w:r w:rsidR="00B430D4">
        <w:t>[3]</w:t>
      </w:r>
      <w:r w:rsidR="001D7C88">
        <w:fldChar w:fldCharType="end"/>
      </w:r>
      <w:r>
        <w:t xml:space="preserve"> and MTSU calculation, QoQZ uncertainty value for QZ ≤</w:t>
      </w:r>
      <w:r w:rsidRPr="009709C5">
        <w:t xml:space="preserve"> 30cm</w:t>
      </w:r>
      <w:r>
        <w:t xml:space="preserve"> is used also for 40cm.</w:t>
      </w:r>
    </w:p>
    <w:p w:rsidR="00021891" w:rsidRPr="00150BD1" w:rsidRDefault="00021891" w:rsidP="00150BD1">
      <w:pPr>
        <w:rPr>
          <w:lang w:eastAsia="en-US"/>
        </w:rPr>
      </w:pPr>
      <w:r>
        <w:rPr>
          <w:lang w:eastAsia="en-US"/>
        </w:rPr>
        <w:t xml:space="preserve">Considering this and the results presented in </w:t>
      </w:r>
      <w:r w:rsidR="001D7C88">
        <w:rPr>
          <w:lang w:eastAsia="en-US"/>
        </w:rPr>
        <w:fldChar w:fldCharType="begin"/>
      </w:r>
      <w:r w:rsidR="001D7C88">
        <w:rPr>
          <w:lang w:eastAsia="en-US"/>
        </w:rPr>
        <w:instrText xml:space="preserve"> REF _Ref158382529 \h </w:instrText>
      </w:r>
      <w:r w:rsidR="001D7C88">
        <w:rPr>
          <w:lang w:eastAsia="en-US"/>
        </w:rPr>
      </w:r>
      <w:r w:rsidR="001D7C88">
        <w:rPr>
          <w:lang w:eastAsia="en-US"/>
        </w:rPr>
        <w:fldChar w:fldCharType="separate"/>
      </w:r>
      <w:r w:rsidR="00B430D4" w:rsidRPr="003E2348">
        <w:t xml:space="preserve">Table </w:t>
      </w:r>
      <w:r w:rsidR="00B430D4">
        <w:rPr>
          <w:noProof/>
        </w:rPr>
        <w:t>2</w:t>
      </w:r>
      <w:r w:rsidR="00B430D4" w:rsidRPr="003E2348">
        <w:noBreakHyphen/>
      </w:r>
      <w:r w:rsidR="00B430D4">
        <w:rPr>
          <w:noProof/>
        </w:rPr>
        <w:t>2</w:t>
      </w:r>
      <w:r w:rsidR="001D7C88">
        <w:rPr>
          <w:lang w:eastAsia="en-US"/>
        </w:rPr>
        <w:fldChar w:fldCharType="end"/>
      </w:r>
      <w:r w:rsidR="001D7C88">
        <w:rPr>
          <w:lang w:eastAsia="en-US"/>
        </w:rPr>
        <w:t xml:space="preserve"> and </w:t>
      </w:r>
      <w:r w:rsidR="001D7C88">
        <w:rPr>
          <w:lang w:eastAsia="en-US"/>
        </w:rPr>
        <w:fldChar w:fldCharType="begin"/>
      </w:r>
      <w:r w:rsidR="001D7C88">
        <w:rPr>
          <w:lang w:eastAsia="en-US"/>
        </w:rPr>
        <w:instrText xml:space="preserve"> REF _Ref158382388 \h </w:instrText>
      </w:r>
      <w:r w:rsidR="001D7C88">
        <w:rPr>
          <w:lang w:eastAsia="en-US"/>
        </w:rPr>
      </w:r>
      <w:r w:rsidR="001D7C88">
        <w:rPr>
          <w:lang w:eastAsia="en-US"/>
        </w:rPr>
        <w:fldChar w:fldCharType="separate"/>
      </w:r>
      <w:r w:rsidR="00B430D4" w:rsidRPr="003E2348">
        <w:t xml:space="preserve">Table </w:t>
      </w:r>
      <w:r w:rsidR="00B430D4">
        <w:rPr>
          <w:noProof/>
        </w:rPr>
        <w:t>2</w:t>
      </w:r>
      <w:r w:rsidR="00B430D4" w:rsidRPr="003E2348">
        <w:noBreakHyphen/>
      </w:r>
      <w:r w:rsidR="00B430D4">
        <w:rPr>
          <w:noProof/>
        </w:rPr>
        <w:t>3</w:t>
      </w:r>
      <w:r w:rsidR="001D7C88">
        <w:rPr>
          <w:lang w:eastAsia="en-US"/>
        </w:rPr>
        <w:fldChar w:fldCharType="end"/>
      </w:r>
      <w:r>
        <w:rPr>
          <w:lang w:eastAsia="en-US"/>
        </w:rPr>
        <w:t>, the following proposal is made for n262:</w:t>
      </w:r>
    </w:p>
    <w:p w:rsidR="00021891" w:rsidRDefault="00021891" w:rsidP="00270A28">
      <w:pPr>
        <w:spacing w:after="0" w:line="240" w:lineRule="auto"/>
      </w:pPr>
      <w:bookmarkStart w:id="8" w:name="_Hlk117849173"/>
      <w:bookmarkStart w:id="9" w:name="_Toc158381861"/>
      <w:bookmarkStart w:id="10" w:name="_Toc158382043"/>
      <w:bookmarkStart w:id="11" w:name="_Toc158382630"/>
      <w:bookmarkStart w:id="12" w:name="_Toc158388118"/>
      <w:bookmarkStart w:id="13" w:name="_Toc158392205"/>
      <w:bookmarkStart w:id="14" w:name="_Toc158394449"/>
      <w:bookmarkStart w:id="15" w:name="_Toc158974125"/>
      <w:r w:rsidRPr="00620C21">
        <w:rPr>
          <w:b/>
        </w:rPr>
        <w:t xml:space="preserve">Proposal </w:t>
      </w:r>
      <w:r w:rsidRPr="00620C21">
        <w:rPr>
          <w:b/>
        </w:rPr>
        <w:fldChar w:fldCharType="begin"/>
      </w:r>
      <w:r w:rsidRPr="00620C21">
        <w:rPr>
          <w:b/>
        </w:rPr>
        <w:instrText xml:space="preserve"> SEQ Proposal \* ARABIC </w:instrText>
      </w:r>
      <w:r w:rsidRPr="00620C21">
        <w:rPr>
          <w:b/>
        </w:rPr>
        <w:fldChar w:fldCharType="separate"/>
      </w:r>
      <w:r w:rsidR="00B430D4">
        <w:rPr>
          <w:b/>
          <w:noProof/>
        </w:rPr>
        <w:t>1</w:t>
      </w:r>
      <w:r w:rsidRPr="00620C21">
        <w:rPr>
          <w:b/>
        </w:rPr>
        <w:fldChar w:fldCharType="end"/>
      </w:r>
      <w:r w:rsidRPr="00620C21">
        <w:rPr>
          <w:b/>
        </w:rPr>
        <w:t xml:space="preserve">: </w:t>
      </w:r>
      <w:bookmarkEnd w:id="8"/>
      <w:r w:rsidRPr="00620C21">
        <w:t xml:space="preserve">Capture in TR 38.903 a Stage 2 QoQZ MU for 40cm QZ of </w:t>
      </w:r>
      <w:r w:rsidR="00296609" w:rsidRPr="00620C21">
        <w:t>0.</w:t>
      </w:r>
      <w:r w:rsidR="0089583A" w:rsidRPr="00620C21">
        <w:t>8</w:t>
      </w:r>
      <w:r w:rsidR="00296609" w:rsidRPr="00620C21">
        <w:t xml:space="preserve"> </w:t>
      </w:r>
      <w:r w:rsidRPr="00620C21">
        <w:t>dB for 49GHz for NTC. ETC values are FFS.</w:t>
      </w:r>
      <w:bookmarkEnd w:id="9"/>
      <w:bookmarkEnd w:id="10"/>
      <w:bookmarkEnd w:id="11"/>
      <w:bookmarkEnd w:id="12"/>
      <w:bookmarkEnd w:id="13"/>
      <w:bookmarkEnd w:id="14"/>
      <w:bookmarkEnd w:id="15"/>
    </w:p>
    <w:p w:rsidR="00021891" w:rsidRDefault="00021891" w:rsidP="00270A28">
      <w:pPr>
        <w:spacing w:after="0" w:line="240" w:lineRule="auto"/>
        <w:rPr>
          <w:b/>
        </w:rPr>
      </w:pPr>
    </w:p>
    <w:p w:rsidR="00021891" w:rsidRPr="00AF1DBD" w:rsidRDefault="00021891" w:rsidP="00270A28">
      <w:pPr>
        <w:spacing w:after="0" w:line="240" w:lineRule="auto"/>
      </w:pPr>
      <w:bookmarkStart w:id="16" w:name="_Toc158381862"/>
      <w:bookmarkStart w:id="17" w:name="_Toc158382044"/>
      <w:bookmarkStart w:id="18" w:name="_Toc158382631"/>
      <w:bookmarkStart w:id="19" w:name="_Toc158388119"/>
      <w:bookmarkStart w:id="20" w:name="_Toc158392206"/>
      <w:bookmarkStart w:id="21" w:name="_Toc158394450"/>
      <w:bookmarkStart w:id="22" w:name="_Toc158974126"/>
      <w:r w:rsidRPr="00620C21">
        <w:rPr>
          <w:b/>
        </w:rPr>
        <w:t xml:space="preserve">Proposal </w:t>
      </w:r>
      <w:r w:rsidRPr="00620C21">
        <w:rPr>
          <w:b/>
        </w:rPr>
        <w:fldChar w:fldCharType="begin"/>
      </w:r>
      <w:r w:rsidRPr="00620C21">
        <w:rPr>
          <w:b/>
        </w:rPr>
        <w:instrText xml:space="preserve"> SEQ Proposal \* ARABIC </w:instrText>
      </w:r>
      <w:r w:rsidRPr="00620C21">
        <w:rPr>
          <w:b/>
        </w:rPr>
        <w:fldChar w:fldCharType="separate"/>
      </w:r>
      <w:r w:rsidR="00B430D4">
        <w:rPr>
          <w:b/>
          <w:noProof/>
        </w:rPr>
        <w:t>2</w:t>
      </w:r>
      <w:r w:rsidRPr="00620C21">
        <w:rPr>
          <w:b/>
        </w:rPr>
        <w:fldChar w:fldCharType="end"/>
      </w:r>
      <w:r w:rsidRPr="00620C21">
        <w:rPr>
          <w:b/>
        </w:rPr>
        <w:t xml:space="preserve">: </w:t>
      </w:r>
      <w:r w:rsidRPr="00620C21">
        <w:t xml:space="preserve">Capture in TR 38.903 a Stage 1 QoQZ MU for 40cm QZ of </w:t>
      </w:r>
      <w:r w:rsidR="0089583A" w:rsidRPr="00620C21">
        <w:t xml:space="preserve">0.5 </w:t>
      </w:r>
      <w:r w:rsidRPr="00620C21">
        <w:t>dB for 49GHz for NTC. ETC values are FFS.</w:t>
      </w:r>
      <w:bookmarkEnd w:id="16"/>
      <w:bookmarkEnd w:id="17"/>
      <w:bookmarkEnd w:id="18"/>
      <w:bookmarkEnd w:id="19"/>
      <w:bookmarkEnd w:id="20"/>
      <w:bookmarkEnd w:id="21"/>
      <w:bookmarkEnd w:id="22"/>
    </w:p>
    <w:p w:rsidR="00BC6E8D" w:rsidRPr="00386348" w:rsidRDefault="00386348" w:rsidP="00BC6E8D">
      <w:pPr>
        <w:pStyle w:val="Heading1"/>
        <w:rPr>
          <w:lang w:val="de-DE"/>
        </w:rPr>
      </w:pPr>
      <w:proofErr w:type="spellStart"/>
      <w:r w:rsidRPr="00386348">
        <w:rPr>
          <w:lang w:val="de-DE"/>
        </w:rPr>
        <w:lastRenderedPageBreak/>
        <w:t>QoQZ</w:t>
      </w:r>
      <w:proofErr w:type="spellEnd"/>
      <w:r w:rsidRPr="00386348">
        <w:rPr>
          <w:lang w:val="de-DE"/>
        </w:rPr>
        <w:t xml:space="preserve"> MU for TRP </w:t>
      </w:r>
      <w:proofErr w:type="spellStart"/>
      <w:r w:rsidRPr="00386348">
        <w:rPr>
          <w:lang w:val="de-DE"/>
        </w:rPr>
        <w:t>metri</w:t>
      </w:r>
      <w:r>
        <w:rPr>
          <w:lang w:val="de-DE"/>
        </w:rPr>
        <w:t>cs</w:t>
      </w:r>
      <w:proofErr w:type="spellEnd"/>
    </w:p>
    <w:p w:rsidR="00C77EBF" w:rsidRDefault="00386348" w:rsidP="00C77EBF">
      <w:pPr>
        <w:rPr>
          <w:lang w:eastAsia="en-US"/>
        </w:rPr>
      </w:pPr>
      <w:r>
        <w:rPr>
          <w:lang w:eastAsia="en-US"/>
        </w:rPr>
        <w:t>In</w:t>
      </w:r>
      <w:r w:rsidR="001D7C88">
        <w:rPr>
          <w:lang w:eastAsia="en-US"/>
        </w:rPr>
        <w:t xml:space="preserve"> </w:t>
      </w:r>
      <w:r w:rsidR="001D7C88">
        <w:rPr>
          <w:lang w:eastAsia="en-US"/>
        </w:rPr>
        <w:fldChar w:fldCharType="begin"/>
      </w:r>
      <w:r w:rsidR="001D7C88">
        <w:rPr>
          <w:lang w:eastAsia="en-US"/>
        </w:rPr>
        <w:instrText xml:space="preserve"> REF _Ref158382342 \r \h </w:instrText>
      </w:r>
      <w:r w:rsidR="001D7C88">
        <w:rPr>
          <w:lang w:eastAsia="en-US"/>
        </w:rPr>
      </w:r>
      <w:r w:rsidR="001D7C88">
        <w:rPr>
          <w:lang w:eastAsia="en-US"/>
        </w:rPr>
        <w:fldChar w:fldCharType="separate"/>
      </w:r>
      <w:r w:rsidR="00B430D4">
        <w:rPr>
          <w:lang w:eastAsia="en-US"/>
        </w:rPr>
        <w:t>[1]</w:t>
      </w:r>
      <w:r w:rsidR="001D7C88">
        <w:rPr>
          <w:lang w:eastAsia="en-US"/>
        </w:rPr>
        <w:fldChar w:fldCharType="end"/>
      </w:r>
      <w:r>
        <w:rPr>
          <w:lang w:eastAsia="en-US"/>
        </w:rPr>
        <w:t xml:space="preserve"> it was proposed to revisit the alignment of QoQZ MU values between EIRP/EIS and TRP for ETC instead of continu</w:t>
      </w:r>
      <w:r w:rsidR="008536E7">
        <w:rPr>
          <w:lang w:eastAsia="en-US"/>
        </w:rPr>
        <w:t xml:space="preserve">ing </w:t>
      </w:r>
      <w:r>
        <w:rPr>
          <w:lang w:eastAsia="en-US"/>
        </w:rPr>
        <w:t>with current agreement for NTC to use the same values for EIRP/EIS and TRP.</w:t>
      </w:r>
    </w:p>
    <w:p w:rsidR="008536E7" w:rsidRDefault="0080221A" w:rsidP="00C77EBF">
      <w:pPr>
        <w:rPr>
          <w:highlight w:val="red"/>
          <w:lang w:eastAsia="en-US"/>
        </w:rPr>
      </w:pPr>
      <w:r>
        <w:rPr>
          <w:lang w:eastAsia="en-US"/>
        </w:rPr>
        <w:t xml:space="preserve">As </w:t>
      </w:r>
      <w:r w:rsidR="008536E7">
        <w:rPr>
          <w:lang w:eastAsia="en-US"/>
        </w:rPr>
        <w:t xml:space="preserve">it can be seen from the results in </w:t>
      </w:r>
      <w:r w:rsidR="001D7C88">
        <w:rPr>
          <w:lang w:eastAsia="en-US"/>
        </w:rPr>
        <w:fldChar w:fldCharType="begin"/>
      </w:r>
      <w:r w:rsidR="001D7C88">
        <w:rPr>
          <w:lang w:eastAsia="en-US"/>
        </w:rPr>
        <w:instrText xml:space="preserve"> REF _Ref158382529 \h </w:instrText>
      </w:r>
      <w:r w:rsidR="001D7C88">
        <w:rPr>
          <w:lang w:eastAsia="en-US"/>
        </w:rPr>
      </w:r>
      <w:r w:rsidR="001D7C88">
        <w:rPr>
          <w:lang w:eastAsia="en-US"/>
        </w:rPr>
        <w:fldChar w:fldCharType="separate"/>
      </w:r>
      <w:r w:rsidR="00B430D4" w:rsidRPr="003E2348">
        <w:t xml:space="preserve">Table </w:t>
      </w:r>
      <w:r w:rsidR="00B430D4">
        <w:rPr>
          <w:noProof/>
        </w:rPr>
        <w:t>2</w:t>
      </w:r>
      <w:r w:rsidR="00B430D4" w:rsidRPr="003E2348">
        <w:noBreakHyphen/>
      </w:r>
      <w:r w:rsidR="00B430D4">
        <w:rPr>
          <w:noProof/>
        </w:rPr>
        <w:t>2</w:t>
      </w:r>
      <w:r w:rsidR="001D7C88">
        <w:rPr>
          <w:lang w:eastAsia="en-US"/>
        </w:rPr>
        <w:fldChar w:fldCharType="end"/>
      </w:r>
      <w:r w:rsidR="001D7C88">
        <w:rPr>
          <w:lang w:eastAsia="en-US"/>
        </w:rPr>
        <w:t xml:space="preserve"> and </w:t>
      </w:r>
      <w:r w:rsidR="001D7C88">
        <w:rPr>
          <w:lang w:eastAsia="en-US"/>
        </w:rPr>
        <w:fldChar w:fldCharType="begin"/>
      </w:r>
      <w:r w:rsidR="001D7C88">
        <w:rPr>
          <w:lang w:eastAsia="en-US"/>
        </w:rPr>
        <w:instrText xml:space="preserve"> REF _Ref158382388 \h </w:instrText>
      </w:r>
      <w:r w:rsidR="001D7C88">
        <w:rPr>
          <w:lang w:eastAsia="en-US"/>
        </w:rPr>
      </w:r>
      <w:r w:rsidR="001D7C88">
        <w:rPr>
          <w:lang w:eastAsia="en-US"/>
        </w:rPr>
        <w:fldChar w:fldCharType="separate"/>
      </w:r>
      <w:r w:rsidR="00B430D4" w:rsidRPr="003E2348">
        <w:t xml:space="preserve">Table </w:t>
      </w:r>
      <w:r w:rsidR="00B430D4">
        <w:rPr>
          <w:noProof/>
        </w:rPr>
        <w:t>2</w:t>
      </w:r>
      <w:r w:rsidR="00B430D4" w:rsidRPr="003E2348">
        <w:noBreakHyphen/>
      </w:r>
      <w:r w:rsidR="00B430D4">
        <w:rPr>
          <w:noProof/>
        </w:rPr>
        <w:t>3</w:t>
      </w:r>
      <w:r w:rsidR="001D7C88">
        <w:rPr>
          <w:lang w:eastAsia="en-US"/>
        </w:rPr>
        <w:fldChar w:fldCharType="end"/>
      </w:r>
      <w:r w:rsidR="008536E7" w:rsidRPr="008536E7">
        <w:rPr>
          <w:lang w:eastAsia="en-US"/>
        </w:rPr>
        <w:t xml:space="preserve">, the </w:t>
      </w:r>
      <w:r w:rsidR="008536E7">
        <w:rPr>
          <w:lang w:eastAsia="en-US"/>
        </w:rPr>
        <w:t xml:space="preserve">difference between </w:t>
      </w:r>
      <w:r w:rsidR="00A67F59">
        <w:rPr>
          <w:lang w:eastAsia="en-US"/>
        </w:rPr>
        <w:t xml:space="preserve">EIRP/EIS </w:t>
      </w:r>
      <w:r w:rsidR="00A67F59" w:rsidRPr="00BB25B8">
        <w:rPr>
          <w:lang w:eastAsia="en-US"/>
        </w:rPr>
        <w:t>QoQZ MU and TRP QoQZ MU for Stage 2 is &lt;</w:t>
      </w:r>
      <w:r w:rsidR="00BB25B8" w:rsidRPr="00BB25B8">
        <w:rPr>
          <w:lang w:eastAsia="en-US"/>
        </w:rPr>
        <w:t>0.2</w:t>
      </w:r>
      <w:r w:rsidR="001D7C88" w:rsidRPr="00BB25B8">
        <w:rPr>
          <w:lang w:eastAsia="en-US"/>
        </w:rPr>
        <w:t xml:space="preserve"> </w:t>
      </w:r>
      <w:r w:rsidR="00A67F59" w:rsidRPr="00BB25B8">
        <w:rPr>
          <w:lang w:eastAsia="en-US"/>
        </w:rPr>
        <w:t>dB</w:t>
      </w:r>
      <w:r w:rsidR="003743D8" w:rsidRPr="00BB25B8">
        <w:rPr>
          <w:lang w:eastAsia="en-US"/>
        </w:rPr>
        <w:t>, which produces very little differen</w:t>
      </w:r>
      <w:r w:rsidR="00134A11" w:rsidRPr="00BB25B8">
        <w:rPr>
          <w:lang w:eastAsia="en-US"/>
        </w:rPr>
        <w:t>ce</w:t>
      </w:r>
      <w:r w:rsidR="003743D8" w:rsidRPr="00BB25B8">
        <w:rPr>
          <w:lang w:eastAsia="en-US"/>
        </w:rPr>
        <w:t xml:space="preserve"> in</w:t>
      </w:r>
      <w:r w:rsidR="003743D8">
        <w:rPr>
          <w:lang w:eastAsia="en-US"/>
        </w:rPr>
        <w:t xml:space="preserve"> the final MTSU. Therefore, </w:t>
      </w:r>
      <w:r w:rsidR="00134A11">
        <w:rPr>
          <w:lang w:eastAsia="en-US"/>
        </w:rPr>
        <w:t>it</w:t>
      </w:r>
      <w:r w:rsidR="003743D8">
        <w:rPr>
          <w:lang w:eastAsia="en-US"/>
        </w:rPr>
        <w:t xml:space="preserve"> is more practical to keep </w:t>
      </w:r>
      <w:r w:rsidR="00134A11">
        <w:rPr>
          <w:lang w:eastAsia="en-US"/>
        </w:rPr>
        <w:t xml:space="preserve">current agreements for NTC and </w:t>
      </w:r>
      <w:r w:rsidR="003743D8">
        <w:rPr>
          <w:lang w:eastAsia="en-US"/>
        </w:rPr>
        <w:t>the alignment between NTC and ETC</w:t>
      </w:r>
      <w:r w:rsidR="00134A11">
        <w:rPr>
          <w:lang w:eastAsia="en-US"/>
        </w:rPr>
        <w:t xml:space="preserve"> by </w:t>
      </w:r>
      <w:r w:rsidR="003743D8">
        <w:rPr>
          <w:lang w:eastAsia="en-US"/>
        </w:rPr>
        <w:t>us</w:t>
      </w:r>
      <w:r w:rsidR="00134A11">
        <w:rPr>
          <w:lang w:eastAsia="en-US"/>
        </w:rPr>
        <w:t>ing</w:t>
      </w:r>
      <w:r w:rsidR="003743D8">
        <w:rPr>
          <w:lang w:eastAsia="en-US"/>
        </w:rPr>
        <w:t xml:space="preserve"> the EIRP/EIS QoQZ MU also for TRP. Otherwise, the number of MU tables to produce and maintain in TS 38.903 </w:t>
      </w:r>
      <w:r w:rsidR="001D7C88">
        <w:rPr>
          <w:lang w:eastAsia="en-US"/>
        </w:rPr>
        <w:fldChar w:fldCharType="begin"/>
      </w:r>
      <w:r w:rsidR="001D7C88">
        <w:rPr>
          <w:lang w:eastAsia="en-US"/>
        </w:rPr>
        <w:instrText xml:space="preserve"> REF _Ref158382401 \r \h </w:instrText>
      </w:r>
      <w:r w:rsidR="001D7C88">
        <w:rPr>
          <w:lang w:eastAsia="en-US"/>
        </w:rPr>
      </w:r>
      <w:r w:rsidR="001D7C88">
        <w:rPr>
          <w:lang w:eastAsia="en-US"/>
        </w:rPr>
        <w:fldChar w:fldCharType="separate"/>
      </w:r>
      <w:r w:rsidR="00B430D4">
        <w:rPr>
          <w:lang w:eastAsia="en-US"/>
        </w:rPr>
        <w:t>[3]</w:t>
      </w:r>
      <w:r w:rsidR="001D7C88">
        <w:rPr>
          <w:lang w:eastAsia="en-US"/>
        </w:rPr>
        <w:fldChar w:fldCharType="end"/>
      </w:r>
      <w:r w:rsidR="003743D8">
        <w:rPr>
          <w:lang w:eastAsia="en-US"/>
        </w:rPr>
        <w:t xml:space="preserve"> will increase dramatically.</w:t>
      </w:r>
    </w:p>
    <w:p w:rsidR="003743D8" w:rsidRDefault="003743D8" w:rsidP="003743D8">
      <w:pPr>
        <w:jc w:val="both"/>
        <w:rPr>
          <w:lang w:eastAsia="en-US"/>
        </w:rPr>
      </w:pPr>
      <w:bookmarkStart w:id="23" w:name="_Toc158375620"/>
      <w:bookmarkStart w:id="24" w:name="_Toc158381863"/>
      <w:bookmarkStart w:id="25" w:name="_Toc158382045"/>
      <w:bookmarkStart w:id="26" w:name="_Toc158382632"/>
      <w:bookmarkStart w:id="27" w:name="_Toc158388120"/>
      <w:bookmarkStart w:id="28" w:name="_Toc158392207"/>
      <w:bookmarkStart w:id="29" w:name="_Toc158394451"/>
      <w:bookmarkStart w:id="30" w:name="_Toc158974127"/>
      <w:r w:rsidRPr="00797F1E">
        <w:rPr>
          <w:b/>
        </w:rPr>
        <w:t xml:space="preserve">Proposal </w:t>
      </w:r>
      <w:r w:rsidRPr="00797F1E">
        <w:rPr>
          <w:b/>
        </w:rPr>
        <w:fldChar w:fldCharType="begin"/>
      </w:r>
      <w:r w:rsidRPr="00797F1E">
        <w:rPr>
          <w:b/>
        </w:rPr>
        <w:instrText xml:space="preserve"> SEQ Proposal \* ARABIC </w:instrText>
      </w:r>
      <w:r w:rsidRPr="00797F1E">
        <w:rPr>
          <w:b/>
        </w:rPr>
        <w:fldChar w:fldCharType="separate"/>
      </w:r>
      <w:r w:rsidR="00B430D4">
        <w:rPr>
          <w:b/>
          <w:noProof/>
        </w:rPr>
        <w:t>3</w:t>
      </w:r>
      <w:r w:rsidRPr="00797F1E">
        <w:rPr>
          <w:b/>
        </w:rPr>
        <w:fldChar w:fldCharType="end"/>
      </w:r>
      <w:r w:rsidRPr="00797F1E">
        <w:rPr>
          <w:b/>
        </w:rPr>
        <w:t xml:space="preserve">: </w:t>
      </w:r>
      <w:r>
        <w:t xml:space="preserve">Use </w:t>
      </w:r>
      <w:r>
        <w:rPr>
          <w:lang w:eastAsia="en-US"/>
        </w:rPr>
        <w:t xml:space="preserve">EIRP/EIS QoQZ MU for Stage 2 to derive the value for the </w:t>
      </w:r>
      <w:r>
        <w:t>“</w:t>
      </w:r>
      <w:r w:rsidR="00296609" w:rsidRPr="009709C5">
        <w:t>Quality of Quiet Zone</w:t>
      </w:r>
      <w:r>
        <w:t>” MU term for both EIRP/EIS and TRP.</w:t>
      </w:r>
      <w:bookmarkEnd w:id="23"/>
      <w:bookmarkEnd w:id="24"/>
      <w:bookmarkEnd w:id="25"/>
      <w:bookmarkEnd w:id="26"/>
      <w:bookmarkEnd w:id="27"/>
      <w:bookmarkEnd w:id="28"/>
      <w:bookmarkEnd w:id="29"/>
      <w:bookmarkEnd w:id="30"/>
    </w:p>
    <w:p w:rsidR="003743D8" w:rsidRDefault="003743D8" w:rsidP="00C77EBF">
      <w:pPr>
        <w:rPr>
          <w:lang w:eastAsia="en-US"/>
        </w:rPr>
      </w:pPr>
    </w:p>
    <w:p w:rsidR="008536E7" w:rsidRDefault="00A67F59" w:rsidP="00C77EBF">
      <w:pPr>
        <w:rPr>
          <w:lang w:eastAsia="en-US"/>
        </w:rPr>
      </w:pPr>
      <w:r>
        <w:rPr>
          <w:lang w:eastAsia="en-US"/>
        </w:rPr>
        <w:t xml:space="preserve">On the other hand, it is not clear if the proposal in </w:t>
      </w:r>
      <w:r w:rsidR="001D7C88">
        <w:rPr>
          <w:lang w:eastAsia="en-US"/>
        </w:rPr>
        <w:fldChar w:fldCharType="begin"/>
      </w:r>
      <w:r w:rsidR="001D7C88">
        <w:rPr>
          <w:lang w:eastAsia="en-US"/>
        </w:rPr>
        <w:instrText xml:space="preserve"> REF _Ref158382342 \r \h </w:instrText>
      </w:r>
      <w:r w:rsidR="001D7C88">
        <w:rPr>
          <w:lang w:eastAsia="en-US"/>
        </w:rPr>
      </w:r>
      <w:r w:rsidR="001D7C88">
        <w:rPr>
          <w:lang w:eastAsia="en-US"/>
        </w:rPr>
        <w:fldChar w:fldCharType="separate"/>
      </w:r>
      <w:r w:rsidR="00B430D4">
        <w:rPr>
          <w:lang w:eastAsia="en-US"/>
        </w:rPr>
        <w:t>[1]</w:t>
      </w:r>
      <w:r w:rsidR="001D7C88">
        <w:rPr>
          <w:lang w:eastAsia="en-US"/>
        </w:rPr>
        <w:fldChar w:fldCharType="end"/>
      </w:r>
      <w:r>
        <w:rPr>
          <w:lang w:eastAsia="en-US"/>
        </w:rPr>
        <w:t xml:space="preserve"> also </w:t>
      </w:r>
      <w:r w:rsidR="003743D8">
        <w:rPr>
          <w:lang w:eastAsia="en-US"/>
        </w:rPr>
        <w:t>include</w:t>
      </w:r>
      <w:r w:rsidR="00305ADB">
        <w:rPr>
          <w:lang w:eastAsia="en-US"/>
        </w:rPr>
        <w:t>s</w:t>
      </w:r>
      <w:r w:rsidR="003743D8">
        <w:rPr>
          <w:lang w:eastAsia="en-US"/>
        </w:rPr>
        <w:t xml:space="preserve"> the adjustment of</w:t>
      </w:r>
      <w:r>
        <w:rPr>
          <w:lang w:eastAsia="en-US"/>
        </w:rPr>
        <w:t xml:space="preserve"> the Stage 1 QoQZ MU for TRP measurements. In our understanding, this MU term for Stage 1 </w:t>
      </w:r>
      <w:r w:rsidR="00F2495A">
        <w:rPr>
          <w:lang w:eastAsia="en-US"/>
        </w:rPr>
        <w:t xml:space="preserve">shall </w:t>
      </w:r>
      <w:r>
        <w:rPr>
          <w:lang w:eastAsia="en-US"/>
        </w:rPr>
        <w:t xml:space="preserve">remain the same for EIRP/EIS and TRP given that gain calibration (equivalent to EIRP) is the most common approach for </w:t>
      </w:r>
      <w:r w:rsidR="00F2495A">
        <w:rPr>
          <w:lang w:eastAsia="en-US"/>
        </w:rPr>
        <w:t>Stage 1 path los calibration</w:t>
      </w:r>
      <w:r>
        <w:rPr>
          <w:lang w:eastAsia="en-US"/>
        </w:rPr>
        <w:t>.</w:t>
      </w:r>
    </w:p>
    <w:p w:rsidR="00A67F59" w:rsidRDefault="00A67F59" w:rsidP="00A67F59">
      <w:pPr>
        <w:jc w:val="both"/>
        <w:rPr>
          <w:lang w:eastAsia="en-US"/>
        </w:rPr>
      </w:pPr>
      <w:bookmarkStart w:id="31" w:name="_Toc158375621"/>
      <w:bookmarkStart w:id="32" w:name="_Toc158381864"/>
      <w:bookmarkStart w:id="33" w:name="_Toc158382046"/>
      <w:bookmarkStart w:id="34" w:name="_Toc158382633"/>
      <w:bookmarkStart w:id="35" w:name="_Toc158388121"/>
      <w:bookmarkStart w:id="36" w:name="_Toc158392208"/>
      <w:bookmarkStart w:id="37" w:name="_Toc158394452"/>
      <w:bookmarkStart w:id="38" w:name="_Toc158974128"/>
      <w:r w:rsidRPr="00797F1E">
        <w:rPr>
          <w:b/>
        </w:rPr>
        <w:t xml:space="preserve">Proposal </w:t>
      </w:r>
      <w:r w:rsidRPr="00797F1E">
        <w:rPr>
          <w:b/>
        </w:rPr>
        <w:fldChar w:fldCharType="begin"/>
      </w:r>
      <w:r w:rsidRPr="00797F1E">
        <w:rPr>
          <w:b/>
        </w:rPr>
        <w:instrText xml:space="preserve"> SEQ Proposal \* ARABIC </w:instrText>
      </w:r>
      <w:r w:rsidRPr="00797F1E">
        <w:rPr>
          <w:b/>
        </w:rPr>
        <w:fldChar w:fldCharType="separate"/>
      </w:r>
      <w:r w:rsidR="00B430D4">
        <w:rPr>
          <w:b/>
          <w:noProof/>
        </w:rPr>
        <w:t>4</w:t>
      </w:r>
      <w:r w:rsidRPr="00797F1E">
        <w:rPr>
          <w:b/>
        </w:rPr>
        <w:fldChar w:fldCharType="end"/>
      </w:r>
      <w:r w:rsidRPr="00797F1E">
        <w:rPr>
          <w:b/>
        </w:rPr>
        <w:t xml:space="preserve">: </w:t>
      </w:r>
      <w:r>
        <w:t xml:space="preserve">Use </w:t>
      </w:r>
      <w:r>
        <w:rPr>
          <w:lang w:eastAsia="en-US"/>
        </w:rPr>
        <w:t xml:space="preserve">EIRP/EIS QoQZ MU at P1 to derive the value for the </w:t>
      </w:r>
      <w:r>
        <w:t>“</w:t>
      </w:r>
      <w:r w:rsidRPr="009709C5">
        <w:t>Quality of quiet zone for calibration process</w:t>
      </w:r>
      <w:r>
        <w:t>” MU term for TRP.</w:t>
      </w:r>
      <w:bookmarkEnd w:id="31"/>
      <w:bookmarkEnd w:id="32"/>
      <w:bookmarkEnd w:id="33"/>
      <w:bookmarkEnd w:id="34"/>
      <w:bookmarkEnd w:id="35"/>
      <w:bookmarkEnd w:id="36"/>
      <w:bookmarkEnd w:id="37"/>
      <w:bookmarkEnd w:id="38"/>
    </w:p>
    <w:p w:rsidR="00A67F59" w:rsidRDefault="00A67F59" w:rsidP="00C77EBF">
      <w:pPr>
        <w:rPr>
          <w:lang w:eastAsia="en-US"/>
        </w:rPr>
      </w:pPr>
    </w:p>
    <w:p w:rsidR="00134A11" w:rsidRDefault="00A67F59" w:rsidP="00C77EBF">
      <w:pPr>
        <w:rPr>
          <w:lang w:eastAsia="en-US"/>
        </w:rPr>
      </w:pPr>
      <w:r>
        <w:rPr>
          <w:lang w:eastAsia="en-US"/>
        </w:rPr>
        <w:t xml:space="preserve">As a side note, </w:t>
      </w:r>
      <w:r w:rsidR="00134A11">
        <w:rPr>
          <w:lang w:eastAsia="en-US"/>
        </w:rPr>
        <w:t xml:space="preserve">it was </w:t>
      </w:r>
      <w:r>
        <w:rPr>
          <w:lang w:eastAsia="en-US"/>
        </w:rPr>
        <w:t xml:space="preserve">noticed that </w:t>
      </w:r>
      <w:r w:rsidR="00F2495A">
        <w:rPr>
          <w:lang w:eastAsia="en-US"/>
        </w:rPr>
        <w:t>efficiency-based</w:t>
      </w:r>
      <w:r>
        <w:rPr>
          <w:lang w:eastAsia="en-US"/>
        </w:rPr>
        <w:t xml:space="preserve"> calibration is </w:t>
      </w:r>
      <w:r w:rsidR="00F2495A">
        <w:rPr>
          <w:lang w:eastAsia="en-US"/>
        </w:rPr>
        <w:t xml:space="preserve">mentioned in section </w:t>
      </w:r>
      <w:r w:rsidR="00F2495A" w:rsidRPr="00F2495A">
        <w:rPr>
          <w:i/>
          <w:lang w:eastAsia="en-US"/>
        </w:rPr>
        <w:t>B.2.1.19 Quality of quiet zone for calibration process</w:t>
      </w:r>
      <w:r w:rsidR="00F2495A">
        <w:rPr>
          <w:lang w:eastAsia="en-US"/>
        </w:rPr>
        <w:t xml:space="preserve"> from TS 38.903 </w:t>
      </w:r>
      <w:r w:rsidR="001D7C88">
        <w:rPr>
          <w:lang w:eastAsia="en-US"/>
        </w:rPr>
        <w:fldChar w:fldCharType="begin"/>
      </w:r>
      <w:r w:rsidR="001D7C88">
        <w:rPr>
          <w:lang w:eastAsia="en-US"/>
        </w:rPr>
        <w:instrText xml:space="preserve"> REF _Ref158382401 \r \h </w:instrText>
      </w:r>
      <w:r w:rsidR="001D7C88">
        <w:rPr>
          <w:lang w:eastAsia="en-US"/>
        </w:rPr>
      </w:r>
      <w:r w:rsidR="001D7C88">
        <w:rPr>
          <w:lang w:eastAsia="en-US"/>
        </w:rPr>
        <w:fldChar w:fldCharType="separate"/>
      </w:r>
      <w:r w:rsidR="00B430D4">
        <w:rPr>
          <w:lang w:eastAsia="en-US"/>
        </w:rPr>
        <w:t>[3]</w:t>
      </w:r>
      <w:r w:rsidR="001D7C88">
        <w:rPr>
          <w:lang w:eastAsia="en-US"/>
        </w:rPr>
        <w:fldChar w:fldCharType="end"/>
      </w:r>
      <w:r w:rsidR="00134A11">
        <w:rPr>
          <w:lang w:eastAsia="en-US"/>
        </w:rPr>
        <w:t>, although such efficiency calibration is not defined anywhere else:</w:t>
      </w:r>
    </w:p>
    <w:p w:rsidR="00134A11" w:rsidRDefault="00134A11" w:rsidP="001D7C88">
      <w:pPr>
        <w:jc w:val="center"/>
        <w:rPr>
          <w:lang w:eastAsia="en-US"/>
        </w:rPr>
      </w:pPr>
      <w:r>
        <w:rPr>
          <w:noProof/>
          <w:lang w:eastAsia="en-US"/>
        </w:rPr>
        <mc:AlternateContent>
          <mc:Choice Requires="wps">
            <w:drawing>
              <wp:inline distT="0" distB="0" distL="0" distR="0">
                <wp:extent cx="5760000" cy="140462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rsidR="00134A11" w:rsidRPr="00134A11" w:rsidRDefault="00134A11" w:rsidP="00134A11">
                            <w:pPr>
                              <w:keepNext/>
                              <w:keepLines/>
                              <w:overflowPunct w:val="0"/>
                              <w:autoSpaceDE w:val="0"/>
                              <w:autoSpaceDN w:val="0"/>
                              <w:adjustRightInd w:val="0"/>
                              <w:spacing w:before="120" w:after="180" w:line="240" w:lineRule="auto"/>
                              <w:textAlignment w:val="baseline"/>
                              <w:outlineLvl w:val="2"/>
                              <w:rPr>
                                <w:rFonts w:eastAsia="Times New Roman" w:cs="Times New Roman"/>
                                <w:sz w:val="24"/>
                                <w:szCs w:val="20"/>
                                <w:lang w:val="en-GB" w:eastAsia="en-GB"/>
                              </w:rPr>
                            </w:pPr>
                            <w:bookmarkStart w:id="39" w:name="_Toc21004772"/>
                            <w:bookmarkStart w:id="40" w:name="_Toc36041545"/>
                            <w:bookmarkStart w:id="41" w:name="_Toc36548769"/>
                            <w:bookmarkStart w:id="42" w:name="_Toc43901244"/>
                            <w:bookmarkStart w:id="43" w:name="_Toc52371976"/>
                            <w:bookmarkStart w:id="44" w:name="_Toc58253433"/>
                            <w:bookmarkStart w:id="45" w:name="_Toc75371563"/>
                            <w:bookmarkStart w:id="46" w:name="_Toc83730729"/>
                            <w:bookmarkStart w:id="47" w:name="_Toc90489230"/>
                            <w:bookmarkStart w:id="48" w:name="_Toc100005296"/>
                            <w:bookmarkStart w:id="49" w:name="_Toc114990119"/>
                            <w:bookmarkStart w:id="50" w:name="_Toc131528672"/>
                            <w:r w:rsidRPr="00134A11">
                              <w:rPr>
                                <w:rFonts w:eastAsia="Times New Roman" w:cs="Times New Roman"/>
                                <w:sz w:val="24"/>
                                <w:szCs w:val="20"/>
                                <w:lang w:val="en-GB" w:eastAsia="en-GB"/>
                              </w:rPr>
                              <w:t>B.2.1.19</w:t>
                            </w:r>
                            <w:r w:rsidRPr="00134A11">
                              <w:rPr>
                                <w:rFonts w:eastAsia="Times New Roman" w:cs="Times New Roman"/>
                                <w:sz w:val="24"/>
                                <w:szCs w:val="20"/>
                                <w:lang w:val="en-GB" w:eastAsia="en-GB"/>
                              </w:rPr>
                              <w:tab/>
                              <w:t>Quality of quiet zone for calibration process</w:t>
                            </w:r>
                            <w:bookmarkEnd w:id="39"/>
                            <w:bookmarkEnd w:id="40"/>
                            <w:bookmarkEnd w:id="41"/>
                            <w:bookmarkEnd w:id="42"/>
                            <w:bookmarkEnd w:id="43"/>
                            <w:bookmarkEnd w:id="44"/>
                            <w:bookmarkEnd w:id="45"/>
                            <w:bookmarkEnd w:id="46"/>
                            <w:bookmarkEnd w:id="47"/>
                            <w:bookmarkEnd w:id="48"/>
                            <w:bookmarkEnd w:id="49"/>
                            <w:bookmarkEnd w:id="50"/>
                          </w:p>
                          <w:p w:rsidR="00134A11" w:rsidRPr="00134A11" w:rsidRDefault="00134A11" w:rsidP="00134A11">
                            <w:pPr>
                              <w:overflowPunct w:val="0"/>
                              <w:autoSpaceDE w:val="0"/>
                              <w:autoSpaceDN w:val="0"/>
                              <w:adjustRightInd w:val="0"/>
                              <w:spacing w:after="180" w:line="240" w:lineRule="auto"/>
                              <w:textAlignment w:val="baseline"/>
                              <w:rPr>
                                <w:rFonts w:ascii="Times New Roman" w:eastAsia="Times New Roman" w:hAnsi="Times New Roman" w:cs="Times New Roman"/>
                                <w:sz w:val="18"/>
                                <w:szCs w:val="20"/>
                                <w:lang w:val="en-GB" w:eastAsia="en-GB"/>
                              </w:rPr>
                            </w:pPr>
                            <w:r w:rsidRPr="00134A11">
                              <w:rPr>
                                <w:rFonts w:ascii="Times New Roman" w:eastAsia="Times New Roman" w:hAnsi="Times New Roman" w:cs="Times New Roman"/>
                                <w:sz w:val="18"/>
                                <w:szCs w:val="20"/>
                                <w:lang w:val="en-GB" w:eastAsia="en-GB"/>
                              </w:rPr>
                              <w:t>During the calibration process the calibration antenna will be placed at the centre of the quiet zone.  Therefore, only point P1 from the procedure outlined in B.2.1.3 needs to be considered for the quality of the quiet zone validation measurement.</w:t>
                            </w:r>
                          </w:p>
                          <w:p w:rsidR="00134A11" w:rsidRPr="00134A11" w:rsidRDefault="00134A11" w:rsidP="00134A11">
                            <w:pPr>
                              <w:overflowPunct w:val="0"/>
                              <w:autoSpaceDE w:val="0"/>
                              <w:autoSpaceDN w:val="0"/>
                              <w:adjustRightInd w:val="0"/>
                              <w:spacing w:after="180" w:line="240" w:lineRule="auto"/>
                              <w:textAlignment w:val="baseline"/>
                              <w:rPr>
                                <w:rFonts w:ascii="Times New Roman" w:eastAsia="Times New Roman" w:hAnsi="Times New Roman" w:cs="Times New Roman"/>
                                <w:sz w:val="18"/>
                                <w:szCs w:val="20"/>
                                <w:lang w:val="en-GB" w:eastAsia="en-GB"/>
                              </w:rPr>
                            </w:pPr>
                            <w:r w:rsidRPr="00134A11">
                              <w:rPr>
                                <w:rFonts w:ascii="Times New Roman" w:eastAsia="Times New Roman" w:hAnsi="Times New Roman" w:cs="Times New Roman"/>
                                <w:sz w:val="18"/>
                                <w:szCs w:val="20"/>
                                <w:lang w:val="en-GB" w:eastAsia="en-GB"/>
                              </w:rPr>
                              <w:t xml:space="preserve">For gain calibrations, the standard uncertainty of the EIRP results obtained following the method outlined in 2.10 shall be used.  </w:t>
                            </w:r>
                            <w:r w:rsidRPr="00134A11">
                              <w:rPr>
                                <w:rFonts w:ascii="Times New Roman" w:eastAsia="Times New Roman" w:hAnsi="Times New Roman" w:cs="Times New Roman"/>
                                <w:sz w:val="18"/>
                                <w:szCs w:val="20"/>
                                <w:highlight w:val="yellow"/>
                                <w:lang w:val="en-GB" w:eastAsia="en-GB"/>
                              </w:rPr>
                              <w:t>For efficiency calibrations, the standard uncertainty of the TRP result obtained following the method outlined in 2.9 shall be used.</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6n9JwIAAEcEAAAOAAAAZHJzL2Uyb0RvYy54bWysU9tu2zAMfR+wfxD0vtgOcmmNOEWXLsOA&#10;rhvQ7gNoWY6F6TZJiZ19/Sg5TbMOexmmB0ESqcPDQ3J1MyhJDtx5YXRFi0lOCdfMNELvKvrtafvu&#10;ihIfQDcgjeYVPXJPb9Zv36x6W/Kp6YxsuCMIon3Z24p2IdgyyzzruAI/MZZrNLbGKQh4dbuscdAj&#10;upLZNM8XWW9cY51h3Ht8vRuNdJ3w25az8KVtPQ9EVhS5hbS7tNdxz9YrKHcObCfYiQb8AwsFQmPQ&#10;M9QdBCB7J/6AUoI5400bJsyozLStYDzlgNkU+atsHjuwPOWC4nh7lsn/P1j2cPjqiGgqOi2WlGhQ&#10;WKQnPgTy3gxkGvXprS/R7dGiYxjwGeuccvX23rDvnmiz6UDv+K1zpu84NMiviD+zi68jjo8gdf/Z&#10;NBgG9sEkoKF1KoqHchBExzodz7WJVBg+zpeLHBclDG3FLJ8tpql6GZTP363z4SM3isRDRR0WP8HD&#10;4d6HSAfKZ5cYzRspmq2QMl3crt5IRw6AjbJNK2Xwyk1q0lf0ej6djwr8FSJyRbZj1N8iKRGw46VQ&#10;Fb06O0EZdfugG/wAZQAhxzNSlvokZNRuVDEM9YCOUd3aNEeU1Jmxs3ES8dAZ95OSHru6ov7HHhyn&#10;RH7SWJbrYjaLY5Aus/kSNSTu0lJfWkAzhKpooGQ8bkIanSSYvcXybUUS9oXJiSt2a9L7NFlxHC7v&#10;yetl/te/AAAA//8DAFBLAwQUAAYACAAAACEANO+5ZNwAAAAFAQAADwAAAGRycy9kb3ducmV2Lnht&#10;bEyPzU7DMBCE70i8g7VI3KiTSPyFOBWi6plSkBA3x97GUeN1iN005elZuMBlpdGMZr6tlrPvxYRj&#10;7AIpyBcZCCQTbEetgrfX9dUdiJg0Wd0HQgUnjLCsz88qXdpwpBectqkVXEKx1ApcSkMpZTQOvY6L&#10;MCCxtwuj14nl2Eo76iOX+14WWXYjve6IF5we8Mmh2W8PXkFcbT4Hs9s0e2dPX8+r6dq8rz+UuryY&#10;Hx9AJJzTXxh+8BkdamZqwoFsFL0CfiT9Xvbus9scRKOgKPICZF3J//T1NwAAAP//AwBQSwECLQAU&#10;AAYACAAAACEAtoM4kv4AAADhAQAAEwAAAAAAAAAAAAAAAAAAAAAAW0NvbnRlbnRfVHlwZXNdLnht&#10;bFBLAQItABQABgAIAAAAIQA4/SH/1gAAAJQBAAALAAAAAAAAAAAAAAAAAC8BAABfcmVscy8ucmVs&#10;c1BLAQItABQABgAIAAAAIQD6Y6n9JwIAAEcEAAAOAAAAAAAAAAAAAAAAAC4CAABkcnMvZTJvRG9j&#10;LnhtbFBLAQItABQABgAIAAAAIQA077lk3AAAAAUBAAAPAAAAAAAAAAAAAAAAAIEEAABkcnMvZG93&#10;bnJldi54bWxQSwUGAAAAAAQABADzAAAAigUAAAAA&#10;">
                <v:textbox style="mso-fit-shape-to-text:t">
                  <w:txbxContent>
                    <w:p w:rsidR="00134A11" w:rsidRPr="00134A11" w:rsidRDefault="00134A11" w:rsidP="00134A11">
                      <w:pPr>
                        <w:keepNext/>
                        <w:keepLines/>
                        <w:overflowPunct w:val="0"/>
                        <w:autoSpaceDE w:val="0"/>
                        <w:autoSpaceDN w:val="0"/>
                        <w:adjustRightInd w:val="0"/>
                        <w:spacing w:before="120" w:after="180" w:line="240" w:lineRule="auto"/>
                        <w:textAlignment w:val="baseline"/>
                        <w:outlineLvl w:val="2"/>
                        <w:rPr>
                          <w:rFonts w:eastAsia="Times New Roman" w:cs="Times New Roman"/>
                          <w:sz w:val="24"/>
                          <w:szCs w:val="20"/>
                          <w:lang w:val="en-GB" w:eastAsia="en-GB"/>
                        </w:rPr>
                      </w:pPr>
                      <w:bookmarkStart w:id="51" w:name="_Toc21004772"/>
                      <w:bookmarkStart w:id="52" w:name="_Toc36041545"/>
                      <w:bookmarkStart w:id="53" w:name="_Toc36548769"/>
                      <w:bookmarkStart w:id="54" w:name="_Toc43901244"/>
                      <w:bookmarkStart w:id="55" w:name="_Toc52371976"/>
                      <w:bookmarkStart w:id="56" w:name="_Toc58253433"/>
                      <w:bookmarkStart w:id="57" w:name="_Toc75371563"/>
                      <w:bookmarkStart w:id="58" w:name="_Toc83730729"/>
                      <w:bookmarkStart w:id="59" w:name="_Toc90489230"/>
                      <w:bookmarkStart w:id="60" w:name="_Toc100005296"/>
                      <w:bookmarkStart w:id="61" w:name="_Toc114990119"/>
                      <w:bookmarkStart w:id="62" w:name="_Toc131528672"/>
                      <w:r w:rsidRPr="00134A11">
                        <w:rPr>
                          <w:rFonts w:eastAsia="Times New Roman" w:cs="Times New Roman"/>
                          <w:sz w:val="24"/>
                          <w:szCs w:val="20"/>
                          <w:lang w:val="en-GB" w:eastAsia="en-GB"/>
                        </w:rPr>
                        <w:t>B.2.1.19</w:t>
                      </w:r>
                      <w:r w:rsidRPr="00134A11">
                        <w:rPr>
                          <w:rFonts w:eastAsia="Times New Roman" w:cs="Times New Roman"/>
                          <w:sz w:val="24"/>
                          <w:szCs w:val="20"/>
                          <w:lang w:val="en-GB" w:eastAsia="en-GB"/>
                        </w:rPr>
                        <w:tab/>
                        <w:t>Quality of quiet zone for calibration process</w:t>
                      </w:r>
                      <w:bookmarkEnd w:id="51"/>
                      <w:bookmarkEnd w:id="52"/>
                      <w:bookmarkEnd w:id="53"/>
                      <w:bookmarkEnd w:id="54"/>
                      <w:bookmarkEnd w:id="55"/>
                      <w:bookmarkEnd w:id="56"/>
                      <w:bookmarkEnd w:id="57"/>
                      <w:bookmarkEnd w:id="58"/>
                      <w:bookmarkEnd w:id="59"/>
                      <w:bookmarkEnd w:id="60"/>
                      <w:bookmarkEnd w:id="61"/>
                      <w:bookmarkEnd w:id="62"/>
                    </w:p>
                    <w:p w:rsidR="00134A11" w:rsidRPr="00134A11" w:rsidRDefault="00134A11" w:rsidP="00134A11">
                      <w:pPr>
                        <w:overflowPunct w:val="0"/>
                        <w:autoSpaceDE w:val="0"/>
                        <w:autoSpaceDN w:val="0"/>
                        <w:adjustRightInd w:val="0"/>
                        <w:spacing w:after="180" w:line="240" w:lineRule="auto"/>
                        <w:textAlignment w:val="baseline"/>
                        <w:rPr>
                          <w:rFonts w:ascii="Times New Roman" w:eastAsia="Times New Roman" w:hAnsi="Times New Roman" w:cs="Times New Roman"/>
                          <w:sz w:val="18"/>
                          <w:szCs w:val="20"/>
                          <w:lang w:val="en-GB" w:eastAsia="en-GB"/>
                        </w:rPr>
                      </w:pPr>
                      <w:r w:rsidRPr="00134A11">
                        <w:rPr>
                          <w:rFonts w:ascii="Times New Roman" w:eastAsia="Times New Roman" w:hAnsi="Times New Roman" w:cs="Times New Roman"/>
                          <w:sz w:val="18"/>
                          <w:szCs w:val="20"/>
                          <w:lang w:val="en-GB" w:eastAsia="en-GB"/>
                        </w:rPr>
                        <w:t>During the calibration process the calibration antenna will be placed at the centre of the quiet zone.  Therefore, only point P1 from the procedure outlined in B.2.1.3 needs to be considered for the quality of the quiet zone validation measurement.</w:t>
                      </w:r>
                    </w:p>
                    <w:p w:rsidR="00134A11" w:rsidRPr="00134A11" w:rsidRDefault="00134A11" w:rsidP="00134A11">
                      <w:pPr>
                        <w:overflowPunct w:val="0"/>
                        <w:autoSpaceDE w:val="0"/>
                        <w:autoSpaceDN w:val="0"/>
                        <w:adjustRightInd w:val="0"/>
                        <w:spacing w:after="180" w:line="240" w:lineRule="auto"/>
                        <w:textAlignment w:val="baseline"/>
                        <w:rPr>
                          <w:rFonts w:ascii="Times New Roman" w:eastAsia="Times New Roman" w:hAnsi="Times New Roman" w:cs="Times New Roman"/>
                          <w:sz w:val="18"/>
                          <w:szCs w:val="20"/>
                          <w:lang w:val="en-GB" w:eastAsia="en-GB"/>
                        </w:rPr>
                      </w:pPr>
                      <w:r w:rsidRPr="00134A11">
                        <w:rPr>
                          <w:rFonts w:ascii="Times New Roman" w:eastAsia="Times New Roman" w:hAnsi="Times New Roman" w:cs="Times New Roman"/>
                          <w:sz w:val="18"/>
                          <w:szCs w:val="20"/>
                          <w:lang w:val="en-GB" w:eastAsia="en-GB"/>
                        </w:rPr>
                        <w:t xml:space="preserve">For gain calibrations, the standard uncertainty of the EIRP results obtained following the method outlined in 2.10 shall be used.  </w:t>
                      </w:r>
                      <w:r w:rsidRPr="00134A11">
                        <w:rPr>
                          <w:rFonts w:ascii="Times New Roman" w:eastAsia="Times New Roman" w:hAnsi="Times New Roman" w:cs="Times New Roman"/>
                          <w:sz w:val="18"/>
                          <w:szCs w:val="20"/>
                          <w:highlight w:val="yellow"/>
                          <w:lang w:val="en-GB" w:eastAsia="en-GB"/>
                        </w:rPr>
                        <w:t>For efficiency calibrations, the standard uncertainty of the TRP result obtained following the method outlined in 2.9 shall be used.</w:t>
                      </w:r>
                    </w:p>
                  </w:txbxContent>
                </v:textbox>
                <w10:anchorlock/>
              </v:shape>
            </w:pict>
          </mc:Fallback>
        </mc:AlternateContent>
      </w:r>
    </w:p>
    <w:p w:rsidR="00134A11" w:rsidRDefault="00134A11" w:rsidP="00C77EBF">
      <w:pPr>
        <w:rPr>
          <w:lang w:eastAsia="en-US"/>
        </w:rPr>
      </w:pPr>
      <w:r>
        <w:rPr>
          <w:lang w:eastAsia="en-US"/>
        </w:rPr>
        <w:t xml:space="preserve">The reference </w:t>
      </w:r>
      <w:r w:rsidR="00BC4428">
        <w:rPr>
          <w:lang w:eastAsia="en-US"/>
        </w:rPr>
        <w:t>“</w:t>
      </w:r>
      <w:r>
        <w:rPr>
          <w:lang w:eastAsia="en-US"/>
        </w:rPr>
        <w:t>2.9</w:t>
      </w:r>
      <w:r w:rsidR="00BC4428">
        <w:rPr>
          <w:lang w:eastAsia="en-US"/>
        </w:rPr>
        <w:t>”</w:t>
      </w:r>
      <w:r w:rsidR="00A95707">
        <w:rPr>
          <w:lang w:eastAsia="en-US"/>
        </w:rPr>
        <w:t xml:space="preserve">, and also </w:t>
      </w:r>
      <w:r w:rsidR="00BC4428">
        <w:rPr>
          <w:lang w:eastAsia="en-US"/>
        </w:rPr>
        <w:t>“</w:t>
      </w:r>
      <w:r>
        <w:rPr>
          <w:lang w:eastAsia="en-US"/>
        </w:rPr>
        <w:t>2.10</w:t>
      </w:r>
      <w:r w:rsidR="00BC4428">
        <w:rPr>
          <w:lang w:eastAsia="en-US"/>
        </w:rPr>
        <w:t>”</w:t>
      </w:r>
      <w:r>
        <w:rPr>
          <w:lang w:eastAsia="en-US"/>
        </w:rPr>
        <w:t xml:space="preserve"> for gain calibration</w:t>
      </w:r>
      <w:r w:rsidR="00A95707">
        <w:rPr>
          <w:lang w:eastAsia="en-US"/>
        </w:rPr>
        <w:t xml:space="preserve">, is </w:t>
      </w:r>
      <w:r>
        <w:rPr>
          <w:lang w:eastAsia="en-US"/>
        </w:rPr>
        <w:t xml:space="preserve">incorrect. Moreover, the </w:t>
      </w:r>
      <w:r w:rsidR="00F2495A">
        <w:rPr>
          <w:lang w:eastAsia="en-US"/>
        </w:rPr>
        <w:t xml:space="preserve">companion MU term </w:t>
      </w:r>
      <w:r w:rsidR="00F2495A" w:rsidRPr="00F2495A">
        <w:rPr>
          <w:i/>
          <w:lang w:eastAsia="en-US"/>
        </w:rPr>
        <w:t>Uncertainty of the absolute gain of the calibration antenna</w:t>
      </w:r>
      <w:r w:rsidR="00F2495A">
        <w:rPr>
          <w:lang w:eastAsia="en-US"/>
        </w:rPr>
        <w:t xml:space="preserve"> only consider</w:t>
      </w:r>
      <w:r>
        <w:rPr>
          <w:lang w:eastAsia="en-US"/>
        </w:rPr>
        <w:t>s</w:t>
      </w:r>
      <w:r w:rsidR="00F2495A">
        <w:rPr>
          <w:lang w:eastAsia="en-US"/>
        </w:rPr>
        <w:t xml:space="preserve"> the gain uncertainty. </w:t>
      </w:r>
    </w:p>
    <w:p w:rsidR="00134A11" w:rsidRDefault="00134A11" w:rsidP="001D7C88">
      <w:pPr>
        <w:jc w:val="center"/>
        <w:rPr>
          <w:lang w:eastAsia="en-US"/>
        </w:rPr>
      </w:pPr>
      <w:r>
        <w:rPr>
          <w:noProof/>
          <w:lang w:eastAsia="en-US"/>
        </w:rPr>
        <w:lastRenderedPageBreak/>
        <mc:AlternateContent>
          <mc:Choice Requires="wps">
            <w:drawing>
              <wp:inline distT="0" distB="0" distL="0" distR="0" wp14:anchorId="21B3B79E" wp14:editId="0697ED69">
                <wp:extent cx="5760000" cy="1404620"/>
                <wp:effectExtent l="0" t="0" r="12700" b="1270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rsidR="00134A11" w:rsidRPr="00134A11" w:rsidRDefault="00134A11" w:rsidP="00134A11">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highlight w:val="yellow"/>
                                <w:lang w:val="en-GB" w:eastAsia="en-GB"/>
                              </w:rPr>
                            </w:pPr>
                            <w:bookmarkStart w:id="63" w:name="_Toc21004768"/>
                            <w:bookmarkStart w:id="64" w:name="_Toc36041541"/>
                            <w:bookmarkStart w:id="65" w:name="_Toc36548765"/>
                            <w:bookmarkStart w:id="66" w:name="_Toc43901240"/>
                            <w:bookmarkStart w:id="67" w:name="_Toc52371972"/>
                            <w:bookmarkStart w:id="68" w:name="_Toc58253429"/>
                            <w:bookmarkStart w:id="69" w:name="_Toc75371559"/>
                            <w:bookmarkStart w:id="70" w:name="_Toc83730725"/>
                            <w:bookmarkStart w:id="71" w:name="_Toc90489226"/>
                            <w:bookmarkStart w:id="72" w:name="_Toc100005292"/>
                            <w:bookmarkStart w:id="73" w:name="_Toc114990115"/>
                            <w:bookmarkStart w:id="74" w:name="_Toc131528668"/>
                            <w:r w:rsidRPr="00134A11">
                              <w:rPr>
                                <w:rFonts w:eastAsia="Times New Roman" w:cs="Times New Roman"/>
                                <w:sz w:val="24"/>
                                <w:szCs w:val="20"/>
                                <w:lang w:val="en-GB" w:eastAsia="ja-JP"/>
                              </w:rPr>
                              <w:t>B.2.1.15</w:t>
                            </w:r>
                            <w:r w:rsidRPr="00134A11">
                              <w:rPr>
                                <w:rFonts w:eastAsia="Times New Roman" w:cs="Times New Roman"/>
                                <w:sz w:val="24"/>
                                <w:szCs w:val="20"/>
                                <w:lang w:val="en-GB" w:eastAsia="ja-JP"/>
                              </w:rPr>
                              <w:tab/>
                              <w:t>Uncertainty of the absolute gain of the calibration antenna</w:t>
                            </w:r>
                            <w:bookmarkEnd w:id="63"/>
                            <w:bookmarkEnd w:id="64"/>
                            <w:bookmarkEnd w:id="65"/>
                            <w:bookmarkEnd w:id="66"/>
                            <w:bookmarkEnd w:id="67"/>
                            <w:bookmarkEnd w:id="68"/>
                            <w:bookmarkEnd w:id="69"/>
                            <w:bookmarkEnd w:id="70"/>
                            <w:bookmarkEnd w:id="71"/>
                            <w:bookmarkEnd w:id="72"/>
                            <w:bookmarkEnd w:id="73"/>
                            <w:bookmarkEnd w:id="74"/>
                          </w:p>
                          <w:p w:rsidR="00134A11" w:rsidRPr="00134A11" w:rsidRDefault="00134A11" w:rsidP="00134A11">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GB"/>
                              </w:rPr>
                            </w:pPr>
                            <w:r w:rsidRPr="00134A11">
                              <w:rPr>
                                <w:rFonts w:ascii="Times New Roman" w:eastAsia="Times New Roman" w:hAnsi="Times New Roman" w:cs="Times New Roman"/>
                                <w:sz w:val="18"/>
                                <w:szCs w:val="20"/>
                                <w:lang w:val="en-GB" w:eastAsia="en-GB"/>
                              </w:rPr>
                              <w:t xml:space="preserve">The calibration antenna only appears in Stage 2. Therefore, the </w:t>
                            </w:r>
                            <w:r w:rsidRPr="00134A11">
                              <w:rPr>
                                <w:rFonts w:ascii="Times New Roman" w:eastAsia="Times New Roman" w:hAnsi="Times New Roman" w:cs="Times New Roman"/>
                                <w:sz w:val="18"/>
                                <w:szCs w:val="20"/>
                                <w:highlight w:val="yellow"/>
                                <w:lang w:val="en-GB" w:eastAsia="en-GB"/>
                              </w:rPr>
                              <w:t xml:space="preserve">gain uncertainty has to be </w:t>
                            </w:r>
                            <w:proofErr w:type="gramStart"/>
                            <w:r w:rsidRPr="00134A11">
                              <w:rPr>
                                <w:rFonts w:ascii="Times New Roman" w:eastAsia="Times New Roman" w:hAnsi="Times New Roman" w:cs="Times New Roman"/>
                                <w:sz w:val="18"/>
                                <w:szCs w:val="20"/>
                                <w:highlight w:val="yellow"/>
                                <w:lang w:val="en-GB" w:eastAsia="en-GB"/>
                              </w:rPr>
                              <w:t>taken into account</w:t>
                            </w:r>
                            <w:proofErr w:type="gramEnd"/>
                            <w:r w:rsidRPr="00134A11">
                              <w:rPr>
                                <w:rFonts w:ascii="Times New Roman" w:eastAsia="Times New Roman" w:hAnsi="Times New Roman" w:cs="Times New Roman"/>
                                <w:sz w:val="18"/>
                                <w:szCs w:val="20"/>
                                <w:lang w:val="en-GB" w:eastAsia="en-GB"/>
                              </w:rPr>
                              <w:t>.</w:t>
                            </w:r>
                            <w:r w:rsidRPr="00134A11">
                              <w:rPr>
                                <w:rFonts w:ascii="Times New Roman" w:eastAsia="Times New Roman" w:hAnsi="Times New Roman" w:cs="Times New Roman"/>
                                <w:sz w:val="18"/>
                                <w:szCs w:val="20"/>
                                <w:lang w:val="en-GB"/>
                              </w:rPr>
                              <w:t xml:space="preserve"> </w:t>
                            </w:r>
                            <w:r w:rsidRPr="00134A11">
                              <w:rPr>
                                <w:rFonts w:ascii="Times New Roman" w:eastAsia="Times New Roman" w:hAnsi="Times New Roman" w:cs="Times New Roman"/>
                                <w:sz w:val="18"/>
                                <w:szCs w:val="20"/>
                                <w:lang w:val="en-GB" w:eastAsia="en-GB"/>
                              </w:rPr>
                              <w:t>This uncertainty will come from a calibration report with traceability to a National Metrology Institute with measurement uncertainty budgets generated following the guidelines outlined in internationally accepted standards.</w:t>
                            </w:r>
                          </w:p>
                        </w:txbxContent>
                      </wps:txbx>
                      <wps:bodyPr rot="0" vert="horz" wrap="square" lIns="91440" tIns="45720" rIns="91440" bIns="45720" anchor="t" anchorCtr="0">
                        <a:spAutoFit/>
                      </wps:bodyPr>
                    </wps:wsp>
                  </a:graphicData>
                </a:graphic>
              </wp:inline>
            </w:drawing>
          </mc:Choice>
          <mc:Fallback>
            <w:pict>
              <v:shape w14:anchorId="21B3B79E" id="_x0000_s1027"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HQ7KQIAAEwEAAAOAAAAZHJzL2Uyb0RvYy54bWysVNtu2zAMfR+wfxD0vtjJkrQ14hRdugwD&#10;ugvQ7gNoWY6FyaImKbG7rx8lp2nWYS/D/CBIInV4eEh6dT10mh2k8wpNyaeTnDNpBNbK7Er+7WH7&#10;5pIzH8DUoNHIkj9Kz6/Xr1+telvIGbaoa+kYgRhf9LbkbQi2yDIvWtmBn6CVhowNug4CHd0uqx30&#10;hN7pbJbny6xHV1uHQnpPt7ejka8TftNIEb40jZeB6ZITt5BWl9Yqrtl6BcXOgW2VONKAf2DRgTIU&#10;9AR1CwHY3qk/oDolHHpswkRgl2HTKCFTDpTNNH+RzX0LVqZcSBxvTzL5/wcrPh++Oqbqkr/lzEBH&#10;JXqQQ2DvcGCzqE5vfUFO95bcwkDXVOWUqbd3KL57ZnDTgtnJG+ewbyXUxG4aX2ZnT0ccH0Gq/hPW&#10;FAb2ARPQ0LguSkdiMEKnKj2eKhOpCLpcXCxz+jgTZJvO8/lylmqXQfH03DofPkjsWNyU3FHpEzwc&#10;7nyIdKB4conRPGpVb5XW6eB21UY7dgBqk236UgYv3LRhfcmvFrPFqMBfISJXYjtG/S1SpwL1u1Zd&#10;yS9PTlBE3d6bmh5AEUDpcU+UtTkKGbUbVQxDNaSKJZWjyBXWj6Ssw7G9aRxp06L7yVlPrV1y/2MP&#10;TnKmPxqqztV0Po+zkA7zxQVJydy5pTq3gBEEVfLA2bjdhDQ/STd7Q1XcqqTvM5MjZWrZJPtxvOJM&#10;nJ+T1/NPYP0LAAD//wMAUEsDBBQABgAIAAAAIQA077lk3AAAAAUBAAAPAAAAZHJzL2Rvd25yZXYu&#10;eG1sTI/NTsMwEITvSLyDtUjcqJNI/IU4FaLqmVKQEDfH3sZR43WI3TTl6Vm4wGWl0Yxmvq2Ws+/F&#10;hGPsAinIFxkIJBNsR62Ct9f11R2ImDRZ3QdCBSeMsKzPzypd2nCkF5y2qRVcQrHUClxKQyllNA69&#10;joswILG3C6PXieXYSjvqI5f7XhZZdiO97ogXnB7wyaHZbw9eQVxtPgez2zR7Z09fz6vp2ryvP5S6&#10;vJgfH0AknNNfGH7wGR1qZmrCgWwUvQJ+JP1e9u6z2xxEo6Ao8gJkXcn/9PU3AAAA//8DAFBLAQIt&#10;ABQABgAIAAAAIQC2gziS/gAAAOEBAAATAAAAAAAAAAAAAAAAAAAAAABbQ29udGVudF9UeXBlc10u&#10;eG1sUEsBAi0AFAAGAAgAAAAhADj9If/WAAAAlAEAAAsAAAAAAAAAAAAAAAAALwEAAF9yZWxzLy5y&#10;ZWxzUEsBAi0AFAAGAAgAAAAhAHrodDspAgAATAQAAA4AAAAAAAAAAAAAAAAALgIAAGRycy9lMm9E&#10;b2MueG1sUEsBAi0AFAAGAAgAAAAhADTvuWTcAAAABQEAAA8AAAAAAAAAAAAAAAAAgwQAAGRycy9k&#10;b3ducmV2LnhtbFBLBQYAAAAABAAEAPMAAACMBQAAAAA=&#10;">
                <v:textbox style="mso-fit-shape-to-text:t">
                  <w:txbxContent>
                    <w:p w:rsidR="00134A11" w:rsidRPr="00134A11" w:rsidRDefault="00134A11" w:rsidP="00134A11">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highlight w:val="yellow"/>
                          <w:lang w:val="en-GB" w:eastAsia="en-GB"/>
                        </w:rPr>
                      </w:pPr>
                      <w:bookmarkStart w:id="75" w:name="_Toc21004768"/>
                      <w:bookmarkStart w:id="76" w:name="_Toc36041541"/>
                      <w:bookmarkStart w:id="77" w:name="_Toc36548765"/>
                      <w:bookmarkStart w:id="78" w:name="_Toc43901240"/>
                      <w:bookmarkStart w:id="79" w:name="_Toc52371972"/>
                      <w:bookmarkStart w:id="80" w:name="_Toc58253429"/>
                      <w:bookmarkStart w:id="81" w:name="_Toc75371559"/>
                      <w:bookmarkStart w:id="82" w:name="_Toc83730725"/>
                      <w:bookmarkStart w:id="83" w:name="_Toc90489226"/>
                      <w:bookmarkStart w:id="84" w:name="_Toc100005292"/>
                      <w:bookmarkStart w:id="85" w:name="_Toc114990115"/>
                      <w:bookmarkStart w:id="86" w:name="_Toc131528668"/>
                      <w:r w:rsidRPr="00134A11">
                        <w:rPr>
                          <w:rFonts w:eastAsia="Times New Roman" w:cs="Times New Roman"/>
                          <w:sz w:val="24"/>
                          <w:szCs w:val="20"/>
                          <w:lang w:val="en-GB" w:eastAsia="ja-JP"/>
                        </w:rPr>
                        <w:t>B.2.1.15</w:t>
                      </w:r>
                      <w:r w:rsidRPr="00134A11">
                        <w:rPr>
                          <w:rFonts w:eastAsia="Times New Roman" w:cs="Times New Roman"/>
                          <w:sz w:val="24"/>
                          <w:szCs w:val="20"/>
                          <w:lang w:val="en-GB" w:eastAsia="ja-JP"/>
                        </w:rPr>
                        <w:tab/>
                        <w:t>Uncertainty of the absolute gain of the calibration antenna</w:t>
                      </w:r>
                      <w:bookmarkEnd w:id="75"/>
                      <w:bookmarkEnd w:id="76"/>
                      <w:bookmarkEnd w:id="77"/>
                      <w:bookmarkEnd w:id="78"/>
                      <w:bookmarkEnd w:id="79"/>
                      <w:bookmarkEnd w:id="80"/>
                      <w:bookmarkEnd w:id="81"/>
                      <w:bookmarkEnd w:id="82"/>
                      <w:bookmarkEnd w:id="83"/>
                      <w:bookmarkEnd w:id="84"/>
                      <w:bookmarkEnd w:id="85"/>
                      <w:bookmarkEnd w:id="86"/>
                    </w:p>
                    <w:p w:rsidR="00134A11" w:rsidRPr="00134A11" w:rsidRDefault="00134A11" w:rsidP="00134A11">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GB"/>
                        </w:rPr>
                      </w:pPr>
                      <w:r w:rsidRPr="00134A11">
                        <w:rPr>
                          <w:rFonts w:ascii="Times New Roman" w:eastAsia="Times New Roman" w:hAnsi="Times New Roman" w:cs="Times New Roman"/>
                          <w:sz w:val="18"/>
                          <w:szCs w:val="20"/>
                          <w:lang w:val="en-GB" w:eastAsia="en-GB"/>
                        </w:rPr>
                        <w:t xml:space="preserve">The calibration antenna only appears in Stage 2. Therefore, the </w:t>
                      </w:r>
                      <w:r w:rsidRPr="00134A11">
                        <w:rPr>
                          <w:rFonts w:ascii="Times New Roman" w:eastAsia="Times New Roman" w:hAnsi="Times New Roman" w:cs="Times New Roman"/>
                          <w:sz w:val="18"/>
                          <w:szCs w:val="20"/>
                          <w:highlight w:val="yellow"/>
                          <w:lang w:val="en-GB" w:eastAsia="en-GB"/>
                        </w:rPr>
                        <w:t xml:space="preserve">gain uncertainty has to be </w:t>
                      </w:r>
                      <w:proofErr w:type="gramStart"/>
                      <w:r w:rsidRPr="00134A11">
                        <w:rPr>
                          <w:rFonts w:ascii="Times New Roman" w:eastAsia="Times New Roman" w:hAnsi="Times New Roman" w:cs="Times New Roman"/>
                          <w:sz w:val="18"/>
                          <w:szCs w:val="20"/>
                          <w:highlight w:val="yellow"/>
                          <w:lang w:val="en-GB" w:eastAsia="en-GB"/>
                        </w:rPr>
                        <w:t>taken into account</w:t>
                      </w:r>
                      <w:proofErr w:type="gramEnd"/>
                      <w:r w:rsidRPr="00134A11">
                        <w:rPr>
                          <w:rFonts w:ascii="Times New Roman" w:eastAsia="Times New Roman" w:hAnsi="Times New Roman" w:cs="Times New Roman"/>
                          <w:sz w:val="18"/>
                          <w:szCs w:val="20"/>
                          <w:lang w:val="en-GB" w:eastAsia="en-GB"/>
                        </w:rPr>
                        <w:t>.</w:t>
                      </w:r>
                      <w:r w:rsidRPr="00134A11">
                        <w:rPr>
                          <w:rFonts w:ascii="Times New Roman" w:eastAsia="Times New Roman" w:hAnsi="Times New Roman" w:cs="Times New Roman"/>
                          <w:sz w:val="18"/>
                          <w:szCs w:val="20"/>
                          <w:lang w:val="en-GB"/>
                        </w:rPr>
                        <w:t xml:space="preserve"> </w:t>
                      </w:r>
                      <w:r w:rsidRPr="00134A11">
                        <w:rPr>
                          <w:rFonts w:ascii="Times New Roman" w:eastAsia="Times New Roman" w:hAnsi="Times New Roman" w:cs="Times New Roman"/>
                          <w:sz w:val="18"/>
                          <w:szCs w:val="20"/>
                          <w:lang w:val="en-GB" w:eastAsia="en-GB"/>
                        </w:rPr>
                        <w:t>This uncertainty will come from a calibration report with traceability to a National Metrology Institute with measurement uncertainty budgets generated following the guidelines outlined in internationally accepted standards.</w:t>
                      </w:r>
                    </w:p>
                  </w:txbxContent>
                </v:textbox>
                <w10:anchorlock/>
              </v:shape>
            </w:pict>
          </mc:Fallback>
        </mc:AlternateContent>
      </w:r>
    </w:p>
    <w:p w:rsidR="00A67F59" w:rsidRPr="00F2495A" w:rsidRDefault="00F2495A" w:rsidP="00C77EBF">
      <w:pPr>
        <w:rPr>
          <w:lang w:eastAsia="en-US"/>
        </w:rPr>
      </w:pPr>
      <w:r>
        <w:rPr>
          <w:lang w:eastAsia="en-US"/>
        </w:rPr>
        <w:t xml:space="preserve">Therefore, the reference to “efficiency calibration” must be removed from TS 38.903 </w:t>
      </w:r>
      <w:r w:rsidR="001D7C88">
        <w:rPr>
          <w:lang w:eastAsia="en-US"/>
        </w:rPr>
        <w:fldChar w:fldCharType="begin"/>
      </w:r>
      <w:r w:rsidR="001D7C88">
        <w:rPr>
          <w:lang w:eastAsia="en-US"/>
        </w:rPr>
        <w:instrText xml:space="preserve"> REF _Ref158382401 \r \h </w:instrText>
      </w:r>
      <w:r w:rsidR="001D7C88">
        <w:rPr>
          <w:lang w:eastAsia="en-US"/>
        </w:rPr>
      </w:r>
      <w:r w:rsidR="001D7C88">
        <w:rPr>
          <w:lang w:eastAsia="en-US"/>
        </w:rPr>
        <w:fldChar w:fldCharType="separate"/>
      </w:r>
      <w:r w:rsidR="00B430D4">
        <w:rPr>
          <w:lang w:eastAsia="en-US"/>
        </w:rPr>
        <w:t>[3]</w:t>
      </w:r>
      <w:r w:rsidR="001D7C88">
        <w:rPr>
          <w:lang w:eastAsia="en-US"/>
        </w:rPr>
        <w:fldChar w:fldCharType="end"/>
      </w:r>
      <w:r>
        <w:rPr>
          <w:lang w:eastAsia="en-US"/>
        </w:rPr>
        <w:t>.</w:t>
      </w:r>
    </w:p>
    <w:p w:rsidR="008536E7" w:rsidRPr="00AF1DBD" w:rsidRDefault="008536E7" w:rsidP="00134A11">
      <w:pPr>
        <w:jc w:val="both"/>
      </w:pPr>
      <w:bookmarkStart w:id="87" w:name="_Toc118469127"/>
      <w:bookmarkStart w:id="88" w:name="_Toc110500863"/>
      <w:bookmarkStart w:id="89" w:name="_Toc110878358"/>
      <w:bookmarkStart w:id="90" w:name="_Toc110879135"/>
      <w:bookmarkStart w:id="91" w:name="_Toc110879147"/>
      <w:bookmarkStart w:id="92" w:name="_Toc111652343"/>
      <w:bookmarkStart w:id="93" w:name="_Toc112082590"/>
      <w:bookmarkStart w:id="94" w:name="_Toc112312954"/>
      <w:bookmarkStart w:id="95" w:name="_Toc112313016"/>
      <w:bookmarkStart w:id="96" w:name="_Toc117685729"/>
      <w:bookmarkStart w:id="97" w:name="_Toc117688908"/>
      <w:bookmarkStart w:id="98" w:name="_Toc117850333"/>
      <w:bookmarkStart w:id="99" w:name="_Toc117850387"/>
      <w:bookmarkStart w:id="100" w:name="_Toc118469163"/>
      <w:bookmarkStart w:id="101" w:name="_Toc118469178"/>
      <w:bookmarkStart w:id="102" w:name="_Toc118469182"/>
      <w:bookmarkStart w:id="103" w:name="_Toc118469186"/>
      <w:bookmarkStart w:id="104" w:name="_Toc118469207"/>
      <w:bookmarkStart w:id="105" w:name="_Toc119339202"/>
      <w:bookmarkStart w:id="106" w:name="_Toc119344294"/>
      <w:bookmarkStart w:id="107" w:name="_Hlk111652740"/>
      <w:bookmarkStart w:id="108" w:name="_Toc158375622"/>
      <w:bookmarkStart w:id="109" w:name="_Toc158381865"/>
      <w:bookmarkStart w:id="110" w:name="_Toc158382047"/>
      <w:bookmarkStart w:id="111" w:name="_Toc158382634"/>
      <w:bookmarkStart w:id="112" w:name="_Toc158388122"/>
      <w:bookmarkStart w:id="113" w:name="_Toc158392209"/>
      <w:bookmarkStart w:id="114" w:name="_Toc158394453"/>
      <w:bookmarkStart w:id="115" w:name="_Toc158974129"/>
      <w:r w:rsidRPr="00797F1E">
        <w:rPr>
          <w:b/>
        </w:rPr>
        <w:t xml:space="preserve">Proposal </w:t>
      </w:r>
      <w:r w:rsidRPr="00797F1E">
        <w:rPr>
          <w:b/>
        </w:rPr>
        <w:fldChar w:fldCharType="begin"/>
      </w:r>
      <w:r w:rsidRPr="00797F1E">
        <w:rPr>
          <w:b/>
        </w:rPr>
        <w:instrText xml:space="preserve"> SEQ Proposal \* ARABIC </w:instrText>
      </w:r>
      <w:r w:rsidRPr="00797F1E">
        <w:rPr>
          <w:b/>
        </w:rPr>
        <w:fldChar w:fldCharType="separate"/>
      </w:r>
      <w:r w:rsidR="00B430D4">
        <w:rPr>
          <w:b/>
          <w:noProof/>
        </w:rPr>
        <w:t>5</w:t>
      </w:r>
      <w:r w:rsidRPr="00797F1E">
        <w:rPr>
          <w:b/>
        </w:rPr>
        <w:fldChar w:fldCharType="end"/>
      </w:r>
      <w:r w:rsidRPr="00797F1E">
        <w:rPr>
          <w:b/>
        </w:rPr>
        <w:t xml:space="preserve">: </w:t>
      </w:r>
      <w:bookmarkEnd w:id="87"/>
      <w:r w:rsidR="00F2495A" w:rsidRPr="00F2495A">
        <w:t>Remo</w:t>
      </w:r>
      <w:r w:rsidR="00F2495A">
        <w:t xml:space="preserve">ve the reference to </w:t>
      </w:r>
      <w:r w:rsidR="00F2495A">
        <w:rPr>
          <w:lang w:eastAsia="en-US"/>
        </w:rPr>
        <w:t>efficiency calibration</w:t>
      </w:r>
      <w:r w:rsidR="00F2495A">
        <w:t xml:space="preserve"> from </w:t>
      </w:r>
      <w:r>
        <w:t>the definition for “</w:t>
      </w:r>
      <w:r w:rsidRPr="009709C5">
        <w:t>Quality of quiet zone for calibration process</w:t>
      </w:r>
      <w:r>
        <w:t>” (i.e. Stage 1 QoQZ MU)</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t>.</w:t>
      </w:r>
      <w:bookmarkEnd w:id="107"/>
      <w:bookmarkEnd w:id="108"/>
      <w:bookmarkEnd w:id="109"/>
      <w:bookmarkEnd w:id="110"/>
      <w:bookmarkEnd w:id="111"/>
      <w:bookmarkEnd w:id="112"/>
      <w:bookmarkEnd w:id="113"/>
      <w:bookmarkEnd w:id="114"/>
      <w:bookmarkEnd w:id="115"/>
    </w:p>
    <w:bookmarkEnd w:id="0"/>
    <w:bookmarkEnd w:id="1"/>
    <w:p w:rsidR="00AA56D9" w:rsidRPr="00AF1DBD" w:rsidRDefault="00AA56D9" w:rsidP="00AA56D9">
      <w:pPr>
        <w:pStyle w:val="Heading1"/>
        <w:rPr>
          <w:lang w:val="en-US"/>
        </w:rPr>
      </w:pPr>
      <w:r w:rsidRPr="00AF1DBD">
        <w:rPr>
          <w:lang w:val="en-US"/>
        </w:rPr>
        <w:tab/>
        <w:t>Conclusion</w:t>
      </w:r>
    </w:p>
    <w:p w:rsidR="00305ADB" w:rsidRDefault="00305ADB" w:rsidP="00305ADB">
      <w:pPr>
        <w:rPr>
          <w:lang w:eastAsia="en-US"/>
        </w:rPr>
      </w:pPr>
      <w:bookmarkStart w:id="116" w:name="_Hlk117848727"/>
      <w:r w:rsidRPr="00526386">
        <w:rPr>
          <w:lang w:eastAsia="en-US"/>
        </w:rPr>
        <w:t>In this contribution, the following proposals were made:</w:t>
      </w:r>
    </w:p>
    <w:bookmarkEnd w:id="116"/>
    <w:p w:rsidR="00B430D4" w:rsidRPr="00B430D4" w:rsidRDefault="00305ADB">
      <w:pPr>
        <w:pStyle w:val="TableofFigures"/>
        <w:tabs>
          <w:tab w:val="right" w:leader="dot" w:pos="9350"/>
        </w:tabs>
        <w:rPr>
          <w:rFonts w:asciiTheme="minorHAnsi" w:eastAsiaTheme="minorEastAsia" w:hAnsiTheme="minorHAnsi" w:cstheme="minorBidi"/>
          <w:noProof/>
          <w:lang w:eastAsia="es-ES"/>
        </w:rPr>
      </w:pPr>
      <w:r w:rsidRPr="00C2383C">
        <w:rPr>
          <w:lang w:eastAsia="en-US"/>
        </w:rPr>
        <w:fldChar w:fldCharType="begin"/>
      </w:r>
      <w:r w:rsidRPr="00C2383C">
        <w:rPr>
          <w:lang w:eastAsia="en-US"/>
        </w:rPr>
        <w:instrText xml:space="preserve"> TOC \n \c "Proposal" </w:instrText>
      </w:r>
      <w:r w:rsidRPr="00C2383C">
        <w:rPr>
          <w:lang w:eastAsia="en-US"/>
        </w:rPr>
        <w:fldChar w:fldCharType="separate"/>
      </w:r>
      <w:bookmarkStart w:id="117" w:name="_GoBack"/>
      <w:bookmarkEnd w:id="117"/>
      <w:r w:rsidR="00B430D4" w:rsidRPr="004303FE">
        <w:rPr>
          <w:b/>
          <w:noProof/>
        </w:rPr>
        <w:t xml:space="preserve">Proposal 1: </w:t>
      </w:r>
      <w:r w:rsidR="00B430D4">
        <w:rPr>
          <w:noProof/>
        </w:rPr>
        <w:t>Capture in TR 38.903 a Stage 2 QoQZ MU for 40cm QZ of 0.8 dB for 49GHz for NTC. ETC values are FFS.</w:t>
      </w:r>
    </w:p>
    <w:p w:rsidR="00B430D4" w:rsidRPr="00B430D4" w:rsidRDefault="00B430D4">
      <w:pPr>
        <w:pStyle w:val="TableofFigures"/>
        <w:tabs>
          <w:tab w:val="right" w:leader="dot" w:pos="9350"/>
        </w:tabs>
        <w:rPr>
          <w:rFonts w:asciiTheme="minorHAnsi" w:eastAsiaTheme="minorEastAsia" w:hAnsiTheme="minorHAnsi" w:cstheme="minorBidi"/>
          <w:noProof/>
          <w:lang w:eastAsia="es-ES"/>
        </w:rPr>
      </w:pPr>
      <w:r w:rsidRPr="004303FE">
        <w:rPr>
          <w:b/>
          <w:noProof/>
        </w:rPr>
        <w:t xml:space="preserve">Proposal 2: </w:t>
      </w:r>
      <w:r>
        <w:rPr>
          <w:noProof/>
        </w:rPr>
        <w:t>Capture in TR 38.903 a Stage 1 QoQZ MU for 40cm QZ of 0.5 dB for 49GHz for NTC. ETC values are FFS.</w:t>
      </w:r>
    </w:p>
    <w:p w:rsidR="00B430D4" w:rsidRPr="00B430D4" w:rsidRDefault="00B430D4">
      <w:pPr>
        <w:pStyle w:val="TableofFigures"/>
        <w:tabs>
          <w:tab w:val="right" w:leader="dot" w:pos="9350"/>
        </w:tabs>
        <w:rPr>
          <w:rFonts w:asciiTheme="minorHAnsi" w:eastAsiaTheme="minorEastAsia" w:hAnsiTheme="minorHAnsi" w:cstheme="minorBidi"/>
          <w:noProof/>
          <w:lang w:eastAsia="es-ES"/>
        </w:rPr>
      </w:pPr>
      <w:r w:rsidRPr="004303FE">
        <w:rPr>
          <w:b/>
          <w:noProof/>
        </w:rPr>
        <w:t xml:space="preserve">Proposal 3: </w:t>
      </w:r>
      <w:r>
        <w:rPr>
          <w:noProof/>
        </w:rPr>
        <w:t xml:space="preserve">Use </w:t>
      </w:r>
      <w:r>
        <w:rPr>
          <w:noProof/>
          <w:lang w:eastAsia="en-US"/>
        </w:rPr>
        <w:t xml:space="preserve">EIRP/EIS QoQZ MU for Stage 2 to derive the value for the </w:t>
      </w:r>
      <w:r>
        <w:rPr>
          <w:noProof/>
        </w:rPr>
        <w:t>“Quality of Quiet Zone” MU term for both EIRP/EIS and TRP.</w:t>
      </w:r>
    </w:p>
    <w:p w:rsidR="00B430D4" w:rsidRPr="00B430D4" w:rsidRDefault="00B430D4">
      <w:pPr>
        <w:pStyle w:val="TableofFigures"/>
        <w:tabs>
          <w:tab w:val="right" w:leader="dot" w:pos="9350"/>
        </w:tabs>
        <w:rPr>
          <w:rFonts w:asciiTheme="minorHAnsi" w:eastAsiaTheme="minorEastAsia" w:hAnsiTheme="minorHAnsi" w:cstheme="minorBidi"/>
          <w:noProof/>
          <w:lang w:eastAsia="es-ES"/>
        </w:rPr>
      </w:pPr>
      <w:r w:rsidRPr="004303FE">
        <w:rPr>
          <w:b/>
          <w:noProof/>
        </w:rPr>
        <w:t xml:space="preserve">Proposal 4: </w:t>
      </w:r>
      <w:r>
        <w:rPr>
          <w:noProof/>
        </w:rPr>
        <w:t xml:space="preserve">Use </w:t>
      </w:r>
      <w:r>
        <w:rPr>
          <w:noProof/>
          <w:lang w:eastAsia="en-US"/>
        </w:rPr>
        <w:t xml:space="preserve">EIRP/EIS QoQZ MU at P1 to derive the value for the </w:t>
      </w:r>
      <w:r>
        <w:rPr>
          <w:noProof/>
        </w:rPr>
        <w:t>“Quality of quiet zone for calibration process” MU term for TRP.</w:t>
      </w:r>
    </w:p>
    <w:p w:rsidR="00B430D4" w:rsidRPr="00B430D4" w:rsidRDefault="00B430D4">
      <w:pPr>
        <w:pStyle w:val="TableofFigures"/>
        <w:tabs>
          <w:tab w:val="right" w:leader="dot" w:pos="9350"/>
        </w:tabs>
        <w:rPr>
          <w:rFonts w:asciiTheme="minorHAnsi" w:eastAsiaTheme="minorEastAsia" w:hAnsiTheme="minorHAnsi" w:cstheme="minorBidi"/>
          <w:noProof/>
          <w:lang w:eastAsia="es-ES"/>
        </w:rPr>
      </w:pPr>
      <w:r w:rsidRPr="004303FE">
        <w:rPr>
          <w:b/>
          <w:noProof/>
        </w:rPr>
        <w:t xml:space="preserve">Proposal 5: </w:t>
      </w:r>
      <w:r>
        <w:rPr>
          <w:noProof/>
        </w:rPr>
        <w:t xml:space="preserve">Remove the reference to </w:t>
      </w:r>
      <w:r>
        <w:rPr>
          <w:noProof/>
          <w:lang w:eastAsia="en-US"/>
        </w:rPr>
        <w:t>efficiency calibration</w:t>
      </w:r>
      <w:r>
        <w:rPr>
          <w:noProof/>
        </w:rPr>
        <w:t xml:space="preserve"> from the definition for “Quality of quiet zone for calibration process” (i.e. Stage 1 QoQZ MU).</w:t>
      </w:r>
    </w:p>
    <w:p w:rsidR="00305ADB" w:rsidRPr="00AF1DBD" w:rsidRDefault="00305ADB" w:rsidP="00305ADB">
      <w:pPr>
        <w:rPr>
          <w:lang w:eastAsia="en-US"/>
        </w:rPr>
      </w:pPr>
      <w:r w:rsidRPr="00C2383C">
        <w:rPr>
          <w:lang w:eastAsia="en-US"/>
        </w:rPr>
        <w:fldChar w:fldCharType="end"/>
      </w:r>
    </w:p>
    <w:p w:rsidR="00AF2B58" w:rsidRPr="00AF1DBD" w:rsidRDefault="00AF2B58" w:rsidP="00AF2B58">
      <w:pPr>
        <w:pStyle w:val="Heading1"/>
        <w:numPr>
          <w:ilvl w:val="0"/>
          <w:numId w:val="0"/>
        </w:numPr>
        <w:ind w:left="432" w:hanging="432"/>
        <w:rPr>
          <w:rFonts w:cs="Arial"/>
          <w:lang w:val="en-US"/>
        </w:rPr>
      </w:pPr>
      <w:bookmarkStart w:id="118" w:name="_Ref473660868"/>
      <w:bookmarkStart w:id="119" w:name="_Ref473660708"/>
      <w:bookmarkStart w:id="120" w:name="OLE_LINK6"/>
      <w:bookmarkStart w:id="121" w:name="OLE_LINK7"/>
      <w:r w:rsidRPr="00AF1DBD">
        <w:rPr>
          <w:rFonts w:cs="Arial"/>
          <w:lang w:val="en-US"/>
        </w:rPr>
        <w:t>References</w:t>
      </w:r>
    </w:p>
    <w:p w:rsidR="00B5766A" w:rsidRDefault="00B5766A" w:rsidP="00975173">
      <w:pPr>
        <w:pStyle w:val="ListParagraph"/>
        <w:numPr>
          <w:ilvl w:val="0"/>
          <w:numId w:val="4"/>
        </w:numPr>
        <w:spacing w:before="120"/>
        <w:rPr>
          <w:rFonts w:eastAsiaTheme="minorEastAsia"/>
          <w:lang w:val="en-US"/>
        </w:rPr>
      </w:pPr>
      <w:bookmarkStart w:id="122" w:name="_Ref158382342"/>
      <w:bookmarkEnd w:id="118"/>
      <w:bookmarkEnd w:id="119"/>
      <w:bookmarkEnd w:id="120"/>
      <w:bookmarkEnd w:id="121"/>
      <w:r w:rsidRPr="00AF1DBD">
        <w:rPr>
          <w:rFonts w:eastAsiaTheme="minorEastAsia"/>
          <w:lang w:val="en-US"/>
        </w:rPr>
        <w:t>R5-</w:t>
      </w:r>
      <w:r w:rsidR="00EE4815">
        <w:rPr>
          <w:rFonts w:eastAsiaTheme="minorEastAsia"/>
          <w:lang w:val="en-US"/>
        </w:rPr>
        <w:t>235754</w:t>
      </w:r>
      <w:r w:rsidRPr="00AF1DBD">
        <w:rPr>
          <w:rFonts w:eastAsiaTheme="minorEastAsia"/>
          <w:lang w:val="en-US"/>
        </w:rPr>
        <w:t xml:space="preserve">, </w:t>
      </w:r>
      <w:r w:rsidR="00EE4815">
        <w:rPr>
          <w:rFonts w:eastAsiaTheme="minorEastAsia"/>
          <w:lang w:val="en-US"/>
        </w:rPr>
        <w:t>“</w:t>
      </w:r>
      <w:r w:rsidR="00EE4815" w:rsidRPr="00EE4815">
        <w:rPr>
          <w:rFonts w:eastAsiaTheme="minorEastAsia"/>
          <w:lang w:val="en-US"/>
        </w:rPr>
        <w:t>On QoQZ ETC MU beyond FR2b</w:t>
      </w:r>
      <w:r w:rsidR="00EE4815">
        <w:rPr>
          <w:rFonts w:eastAsiaTheme="minorEastAsia"/>
          <w:lang w:val="en-US"/>
        </w:rPr>
        <w:t>”</w:t>
      </w:r>
      <w:r w:rsidRPr="00AF1DBD">
        <w:rPr>
          <w:rFonts w:eastAsiaTheme="minorEastAsia"/>
          <w:lang w:val="en-US"/>
        </w:rPr>
        <w:t xml:space="preserve">, </w:t>
      </w:r>
      <w:r w:rsidR="00EE4815" w:rsidRPr="00EE4815">
        <w:rPr>
          <w:rFonts w:eastAsiaTheme="minorEastAsia"/>
          <w:lang w:val="en-US"/>
        </w:rPr>
        <w:t>Keysight Technologies</w:t>
      </w:r>
      <w:r w:rsidRPr="00AF1DBD">
        <w:rPr>
          <w:rFonts w:eastAsiaTheme="minorEastAsia"/>
          <w:lang w:val="en-US"/>
        </w:rPr>
        <w:t xml:space="preserve">, </w:t>
      </w:r>
      <w:r w:rsidRPr="00AF1DBD">
        <w:rPr>
          <w:lang w:val="en-US"/>
        </w:rPr>
        <w:t xml:space="preserve">3GPP TSG RAN WG 5 Meeting </w:t>
      </w:r>
      <w:r w:rsidRPr="00AF1DBD">
        <w:rPr>
          <w:rFonts w:eastAsiaTheme="minorEastAsia"/>
          <w:lang w:val="en-US"/>
        </w:rPr>
        <w:t>#</w:t>
      </w:r>
      <w:r w:rsidR="00EE4815">
        <w:rPr>
          <w:rFonts w:eastAsiaTheme="minorEastAsia"/>
          <w:lang w:val="en-US"/>
        </w:rPr>
        <w:t>100</w:t>
      </w:r>
      <w:r w:rsidRPr="00AF1DBD">
        <w:rPr>
          <w:rFonts w:eastAsiaTheme="minorEastAsia"/>
          <w:lang w:val="en-US"/>
        </w:rPr>
        <w:t xml:space="preserve">, </w:t>
      </w:r>
      <w:r w:rsidR="00EE4815">
        <w:rPr>
          <w:rFonts w:eastAsiaTheme="minorEastAsia"/>
          <w:lang w:val="en-US"/>
        </w:rPr>
        <w:t>August</w:t>
      </w:r>
      <w:r w:rsidRPr="00AF1DBD">
        <w:rPr>
          <w:rFonts w:eastAsiaTheme="minorEastAsia"/>
          <w:lang w:val="en-US"/>
        </w:rPr>
        <w:t xml:space="preserve"> 2023</w:t>
      </w:r>
      <w:bookmarkEnd w:id="122"/>
    </w:p>
    <w:p w:rsidR="009E1B54" w:rsidRDefault="00A95707" w:rsidP="00975173">
      <w:pPr>
        <w:pStyle w:val="ListParagraph"/>
        <w:numPr>
          <w:ilvl w:val="0"/>
          <w:numId w:val="4"/>
        </w:numPr>
        <w:spacing w:before="120"/>
        <w:rPr>
          <w:rFonts w:eastAsiaTheme="minorEastAsia"/>
          <w:lang w:val="en-US"/>
        </w:rPr>
      </w:pPr>
      <w:bookmarkStart w:id="123" w:name="_Ref158382354"/>
      <w:r>
        <w:rPr>
          <w:rFonts w:eastAsiaTheme="minorEastAsia"/>
          <w:lang w:val="en-US"/>
        </w:rPr>
        <w:t>3GPP TS 38.521-2 V18.1.0 (2024-01)</w:t>
      </w:r>
      <w:bookmarkEnd w:id="123"/>
    </w:p>
    <w:p w:rsidR="00A95707" w:rsidRPr="001D7C88" w:rsidRDefault="00A95707" w:rsidP="00975173">
      <w:pPr>
        <w:pStyle w:val="ListParagraph"/>
        <w:numPr>
          <w:ilvl w:val="0"/>
          <w:numId w:val="4"/>
        </w:numPr>
        <w:spacing w:before="120"/>
        <w:rPr>
          <w:rFonts w:eastAsiaTheme="minorEastAsia"/>
          <w:lang w:val="es-ES"/>
        </w:rPr>
      </w:pPr>
      <w:bookmarkStart w:id="124" w:name="_Ref158382401"/>
      <w:r w:rsidRPr="001D7C88">
        <w:rPr>
          <w:rFonts w:eastAsiaTheme="minorEastAsia"/>
          <w:lang w:val="es-ES"/>
        </w:rPr>
        <w:t>3GPP TR 38.903 V18.1.0 (2024-01)</w:t>
      </w:r>
      <w:bookmarkEnd w:id="124"/>
    </w:p>
    <w:p w:rsidR="00797DCC" w:rsidRPr="001D7C88" w:rsidRDefault="00797DCC" w:rsidP="00B5766A">
      <w:pPr>
        <w:pStyle w:val="ListParagraph"/>
        <w:numPr>
          <w:ilvl w:val="0"/>
          <w:numId w:val="0"/>
        </w:numPr>
        <w:spacing w:before="120"/>
        <w:ind w:left="360"/>
        <w:rPr>
          <w:rFonts w:eastAsiaTheme="minorEastAsia"/>
          <w:lang w:val="es-ES"/>
        </w:rPr>
      </w:pPr>
    </w:p>
    <w:sectPr w:rsidR="00797DCC" w:rsidRPr="001D7C88"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672E" w:rsidRDefault="0005672E" w:rsidP="00371D7D">
      <w:r>
        <w:separator/>
      </w:r>
    </w:p>
  </w:endnote>
  <w:endnote w:type="continuationSeparator" w:id="0">
    <w:p w:rsidR="0005672E" w:rsidRDefault="0005672E"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212" w:rsidRDefault="003062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212" w:rsidRPr="000E7B1E" w:rsidRDefault="00306212"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212" w:rsidRDefault="003062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672E" w:rsidRDefault="0005672E" w:rsidP="00371D7D">
      <w:r>
        <w:separator/>
      </w:r>
    </w:p>
  </w:footnote>
  <w:footnote w:type="continuationSeparator" w:id="0">
    <w:p w:rsidR="0005672E" w:rsidRDefault="0005672E"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212" w:rsidRDefault="00306212">
    <w:pPr>
      <w:pStyle w:val="Header"/>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rsidR="00306212" w:rsidRPr="00A11327" w:rsidRDefault="004612BF" w:rsidP="001227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8"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rsidR="00306212" w:rsidRPr="00A11327" w:rsidRDefault="004612BF" w:rsidP="001227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212" w:rsidRDefault="00306212">
    <w:pPr>
      <w:pStyle w:val="Header"/>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306212" w:rsidRPr="00A11327" w:rsidRDefault="004612BF" w:rsidP="001227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9"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306212" w:rsidRPr="00A11327" w:rsidRDefault="004612BF" w:rsidP="001227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212" w:rsidRDefault="00306212">
    <w:pPr>
      <w:pStyle w:val="Header"/>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rsidR="00306212" w:rsidRPr="00A11327" w:rsidRDefault="004612BF" w:rsidP="001227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rsidR="00306212" w:rsidRPr="00A11327" w:rsidRDefault="004612BF" w:rsidP="001227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891"/>
    <w:rsid w:val="00021A1A"/>
    <w:rsid w:val="0002461A"/>
    <w:rsid w:val="000246D8"/>
    <w:rsid w:val="00025D21"/>
    <w:rsid w:val="0002782D"/>
    <w:rsid w:val="000304B0"/>
    <w:rsid w:val="00030A7F"/>
    <w:rsid w:val="00030EFF"/>
    <w:rsid w:val="00032714"/>
    <w:rsid w:val="00032AC4"/>
    <w:rsid w:val="000357C4"/>
    <w:rsid w:val="00036082"/>
    <w:rsid w:val="0003628B"/>
    <w:rsid w:val="00037F59"/>
    <w:rsid w:val="000402B6"/>
    <w:rsid w:val="00040CBE"/>
    <w:rsid w:val="00040F64"/>
    <w:rsid w:val="00043C77"/>
    <w:rsid w:val="00043D57"/>
    <w:rsid w:val="00044187"/>
    <w:rsid w:val="0004547C"/>
    <w:rsid w:val="00045894"/>
    <w:rsid w:val="000458E0"/>
    <w:rsid w:val="00047428"/>
    <w:rsid w:val="00047E71"/>
    <w:rsid w:val="00047E75"/>
    <w:rsid w:val="000505C8"/>
    <w:rsid w:val="00052708"/>
    <w:rsid w:val="0005282F"/>
    <w:rsid w:val="0005296D"/>
    <w:rsid w:val="00054DB3"/>
    <w:rsid w:val="0005672E"/>
    <w:rsid w:val="00057FA0"/>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928C9"/>
    <w:rsid w:val="00092C97"/>
    <w:rsid w:val="000953D1"/>
    <w:rsid w:val="00096AAF"/>
    <w:rsid w:val="000A0514"/>
    <w:rsid w:val="000A262C"/>
    <w:rsid w:val="000A2FB0"/>
    <w:rsid w:val="000A2FE2"/>
    <w:rsid w:val="000A3642"/>
    <w:rsid w:val="000A6628"/>
    <w:rsid w:val="000A70A6"/>
    <w:rsid w:val="000A733C"/>
    <w:rsid w:val="000B0F54"/>
    <w:rsid w:val="000B16D7"/>
    <w:rsid w:val="000B3739"/>
    <w:rsid w:val="000B3D61"/>
    <w:rsid w:val="000B663A"/>
    <w:rsid w:val="000B7AEC"/>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1A62"/>
    <w:rsid w:val="000D347D"/>
    <w:rsid w:val="000D4A19"/>
    <w:rsid w:val="000D679D"/>
    <w:rsid w:val="000D68AB"/>
    <w:rsid w:val="000D79F1"/>
    <w:rsid w:val="000D7CF7"/>
    <w:rsid w:val="000E00AB"/>
    <w:rsid w:val="000E0AB9"/>
    <w:rsid w:val="000E444E"/>
    <w:rsid w:val="000E6C7C"/>
    <w:rsid w:val="000E75B0"/>
    <w:rsid w:val="000E7B1E"/>
    <w:rsid w:val="000F07A2"/>
    <w:rsid w:val="000F0BBE"/>
    <w:rsid w:val="000F2169"/>
    <w:rsid w:val="000F290F"/>
    <w:rsid w:val="000F2D50"/>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2BDD"/>
    <w:rsid w:val="001339FF"/>
    <w:rsid w:val="00134990"/>
    <w:rsid w:val="00134A11"/>
    <w:rsid w:val="0013549C"/>
    <w:rsid w:val="00135A01"/>
    <w:rsid w:val="001378A7"/>
    <w:rsid w:val="0014085E"/>
    <w:rsid w:val="0014530C"/>
    <w:rsid w:val="0014779F"/>
    <w:rsid w:val="0015068F"/>
    <w:rsid w:val="00150BD1"/>
    <w:rsid w:val="001530C0"/>
    <w:rsid w:val="00153604"/>
    <w:rsid w:val="001553DE"/>
    <w:rsid w:val="0015562C"/>
    <w:rsid w:val="0015613A"/>
    <w:rsid w:val="0015692F"/>
    <w:rsid w:val="001576FF"/>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80494"/>
    <w:rsid w:val="001810A2"/>
    <w:rsid w:val="00184003"/>
    <w:rsid w:val="0018458D"/>
    <w:rsid w:val="00184C45"/>
    <w:rsid w:val="00193A32"/>
    <w:rsid w:val="00194FD3"/>
    <w:rsid w:val="00197C0C"/>
    <w:rsid w:val="00197F8E"/>
    <w:rsid w:val="001A042A"/>
    <w:rsid w:val="001A2E0D"/>
    <w:rsid w:val="001A38C8"/>
    <w:rsid w:val="001A3FA2"/>
    <w:rsid w:val="001A45CD"/>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00E"/>
    <w:rsid w:val="001D5A32"/>
    <w:rsid w:val="001D7C88"/>
    <w:rsid w:val="001E0A0B"/>
    <w:rsid w:val="001E18D8"/>
    <w:rsid w:val="001E190C"/>
    <w:rsid w:val="001E362F"/>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3EB6"/>
    <w:rsid w:val="002548E2"/>
    <w:rsid w:val="00255A8A"/>
    <w:rsid w:val="00256270"/>
    <w:rsid w:val="002579EE"/>
    <w:rsid w:val="00257EC1"/>
    <w:rsid w:val="00260CAE"/>
    <w:rsid w:val="0026652B"/>
    <w:rsid w:val="002674A8"/>
    <w:rsid w:val="00267AEC"/>
    <w:rsid w:val="002700B4"/>
    <w:rsid w:val="0027049D"/>
    <w:rsid w:val="00270A28"/>
    <w:rsid w:val="00271C91"/>
    <w:rsid w:val="00273685"/>
    <w:rsid w:val="00273AD6"/>
    <w:rsid w:val="00274BD3"/>
    <w:rsid w:val="002759B6"/>
    <w:rsid w:val="00276B41"/>
    <w:rsid w:val="00276F00"/>
    <w:rsid w:val="00280D58"/>
    <w:rsid w:val="00282191"/>
    <w:rsid w:val="00284170"/>
    <w:rsid w:val="00286031"/>
    <w:rsid w:val="00286477"/>
    <w:rsid w:val="002866C4"/>
    <w:rsid w:val="00286F8C"/>
    <w:rsid w:val="00287444"/>
    <w:rsid w:val="00290859"/>
    <w:rsid w:val="0029224C"/>
    <w:rsid w:val="002947A5"/>
    <w:rsid w:val="002965D4"/>
    <w:rsid w:val="00296609"/>
    <w:rsid w:val="00296747"/>
    <w:rsid w:val="00296CBC"/>
    <w:rsid w:val="002971B6"/>
    <w:rsid w:val="00297831"/>
    <w:rsid w:val="002A02DF"/>
    <w:rsid w:val="002A06EC"/>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98B"/>
    <w:rsid w:val="002C1683"/>
    <w:rsid w:val="002C3A4F"/>
    <w:rsid w:val="002C48E9"/>
    <w:rsid w:val="002C75A4"/>
    <w:rsid w:val="002D0A92"/>
    <w:rsid w:val="002D0C60"/>
    <w:rsid w:val="002D394E"/>
    <w:rsid w:val="002D5691"/>
    <w:rsid w:val="002D73AE"/>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ADB"/>
    <w:rsid w:val="00305C89"/>
    <w:rsid w:val="00305D94"/>
    <w:rsid w:val="00306212"/>
    <w:rsid w:val="00306245"/>
    <w:rsid w:val="003112E8"/>
    <w:rsid w:val="0031299F"/>
    <w:rsid w:val="003155B0"/>
    <w:rsid w:val="003159AC"/>
    <w:rsid w:val="00315F9F"/>
    <w:rsid w:val="00316376"/>
    <w:rsid w:val="00316F3F"/>
    <w:rsid w:val="003200D8"/>
    <w:rsid w:val="0032163E"/>
    <w:rsid w:val="0032431F"/>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47566"/>
    <w:rsid w:val="00350B40"/>
    <w:rsid w:val="0035204A"/>
    <w:rsid w:val="00357B81"/>
    <w:rsid w:val="0036038D"/>
    <w:rsid w:val="003607C5"/>
    <w:rsid w:val="003608E0"/>
    <w:rsid w:val="00363035"/>
    <w:rsid w:val="003660C7"/>
    <w:rsid w:val="003664A2"/>
    <w:rsid w:val="00367826"/>
    <w:rsid w:val="00367E6D"/>
    <w:rsid w:val="00371D7D"/>
    <w:rsid w:val="003722DF"/>
    <w:rsid w:val="00372474"/>
    <w:rsid w:val="003728C6"/>
    <w:rsid w:val="00372DAC"/>
    <w:rsid w:val="003743D8"/>
    <w:rsid w:val="003750AC"/>
    <w:rsid w:val="00377106"/>
    <w:rsid w:val="003812CA"/>
    <w:rsid w:val="00382E8D"/>
    <w:rsid w:val="003838EA"/>
    <w:rsid w:val="00384B70"/>
    <w:rsid w:val="00385482"/>
    <w:rsid w:val="0038590F"/>
    <w:rsid w:val="00386348"/>
    <w:rsid w:val="0038762F"/>
    <w:rsid w:val="00391EAF"/>
    <w:rsid w:val="00392514"/>
    <w:rsid w:val="00397E2F"/>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E12B0"/>
    <w:rsid w:val="003E2565"/>
    <w:rsid w:val="003E53D4"/>
    <w:rsid w:val="003E5779"/>
    <w:rsid w:val="003F0E6E"/>
    <w:rsid w:val="003F1A78"/>
    <w:rsid w:val="003F2D2A"/>
    <w:rsid w:val="003F6AB7"/>
    <w:rsid w:val="003F6C06"/>
    <w:rsid w:val="004002C9"/>
    <w:rsid w:val="00402878"/>
    <w:rsid w:val="004033E9"/>
    <w:rsid w:val="00403967"/>
    <w:rsid w:val="004076D1"/>
    <w:rsid w:val="004120AE"/>
    <w:rsid w:val="004137F2"/>
    <w:rsid w:val="0041425F"/>
    <w:rsid w:val="00414978"/>
    <w:rsid w:val="004149E9"/>
    <w:rsid w:val="00420D58"/>
    <w:rsid w:val="00423201"/>
    <w:rsid w:val="004239C6"/>
    <w:rsid w:val="004257E2"/>
    <w:rsid w:val="00425DEB"/>
    <w:rsid w:val="0043036D"/>
    <w:rsid w:val="00430D8E"/>
    <w:rsid w:val="004319F5"/>
    <w:rsid w:val="004324FB"/>
    <w:rsid w:val="004325A5"/>
    <w:rsid w:val="00432A57"/>
    <w:rsid w:val="004340EB"/>
    <w:rsid w:val="00434839"/>
    <w:rsid w:val="004372AD"/>
    <w:rsid w:val="0043780D"/>
    <w:rsid w:val="0044038A"/>
    <w:rsid w:val="004417C1"/>
    <w:rsid w:val="004417C3"/>
    <w:rsid w:val="00442027"/>
    <w:rsid w:val="00442365"/>
    <w:rsid w:val="00445FD4"/>
    <w:rsid w:val="00446661"/>
    <w:rsid w:val="00451093"/>
    <w:rsid w:val="00455988"/>
    <w:rsid w:val="004563CF"/>
    <w:rsid w:val="00457EE8"/>
    <w:rsid w:val="00460804"/>
    <w:rsid w:val="004612BF"/>
    <w:rsid w:val="004614C5"/>
    <w:rsid w:val="0046181B"/>
    <w:rsid w:val="0046280F"/>
    <w:rsid w:val="004641CE"/>
    <w:rsid w:val="004646A4"/>
    <w:rsid w:val="00465DA7"/>
    <w:rsid w:val="0046755F"/>
    <w:rsid w:val="00470182"/>
    <w:rsid w:val="00472DC6"/>
    <w:rsid w:val="00473048"/>
    <w:rsid w:val="00474149"/>
    <w:rsid w:val="004746FA"/>
    <w:rsid w:val="00475793"/>
    <w:rsid w:val="0047713D"/>
    <w:rsid w:val="00477362"/>
    <w:rsid w:val="00477BB8"/>
    <w:rsid w:val="00480E62"/>
    <w:rsid w:val="00481B3C"/>
    <w:rsid w:val="00485186"/>
    <w:rsid w:val="004858E1"/>
    <w:rsid w:val="0048673D"/>
    <w:rsid w:val="00487FC3"/>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5815"/>
    <w:rsid w:val="004A60F7"/>
    <w:rsid w:val="004A615A"/>
    <w:rsid w:val="004A79DF"/>
    <w:rsid w:val="004B0619"/>
    <w:rsid w:val="004B0EE9"/>
    <w:rsid w:val="004B19F3"/>
    <w:rsid w:val="004B2756"/>
    <w:rsid w:val="004B348C"/>
    <w:rsid w:val="004B4C96"/>
    <w:rsid w:val="004B70C8"/>
    <w:rsid w:val="004C0EA3"/>
    <w:rsid w:val="004C25C3"/>
    <w:rsid w:val="004C51F6"/>
    <w:rsid w:val="004C6EB0"/>
    <w:rsid w:val="004D0D9B"/>
    <w:rsid w:val="004D1D11"/>
    <w:rsid w:val="004D2DCF"/>
    <w:rsid w:val="004D4913"/>
    <w:rsid w:val="004D49F1"/>
    <w:rsid w:val="004D54FF"/>
    <w:rsid w:val="004D74F3"/>
    <w:rsid w:val="004E02C2"/>
    <w:rsid w:val="004E1ED2"/>
    <w:rsid w:val="004E2925"/>
    <w:rsid w:val="004E31A8"/>
    <w:rsid w:val="004E3358"/>
    <w:rsid w:val="004E3BCC"/>
    <w:rsid w:val="004E4907"/>
    <w:rsid w:val="004E4E4C"/>
    <w:rsid w:val="004E7EF5"/>
    <w:rsid w:val="004F17EE"/>
    <w:rsid w:val="004F2200"/>
    <w:rsid w:val="004F26B4"/>
    <w:rsid w:val="004F27A7"/>
    <w:rsid w:val="004F36A7"/>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27579"/>
    <w:rsid w:val="005337E7"/>
    <w:rsid w:val="00533FBD"/>
    <w:rsid w:val="00534096"/>
    <w:rsid w:val="005346EC"/>
    <w:rsid w:val="00534B99"/>
    <w:rsid w:val="005356CB"/>
    <w:rsid w:val="00535D61"/>
    <w:rsid w:val="005374EC"/>
    <w:rsid w:val="00537AA4"/>
    <w:rsid w:val="00542445"/>
    <w:rsid w:val="00542862"/>
    <w:rsid w:val="005430C7"/>
    <w:rsid w:val="005466D7"/>
    <w:rsid w:val="005478DC"/>
    <w:rsid w:val="00547F17"/>
    <w:rsid w:val="00551E7D"/>
    <w:rsid w:val="00552E60"/>
    <w:rsid w:val="005535D7"/>
    <w:rsid w:val="0055483C"/>
    <w:rsid w:val="005550F7"/>
    <w:rsid w:val="00557216"/>
    <w:rsid w:val="00557539"/>
    <w:rsid w:val="005579D6"/>
    <w:rsid w:val="00562E4D"/>
    <w:rsid w:val="0056386A"/>
    <w:rsid w:val="00564786"/>
    <w:rsid w:val="00565D1E"/>
    <w:rsid w:val="00565E03"/>
    <w:rsid w:val="0056655C"/>
    <w:rsid w:val="00566B4A"/>
    <w:rsid w:val="005678D2"/>
    <w:rsid w:val="00570805"/>
    <w:rsid w:val="00571760"/>
    <w:rsid w:val="005718E4"/>
    <w:rsid w:val="00571AAB"/>
    <w:rsid w:val="00571EF0"/>
    <w:rsid w:val="0057236F"/>
    <w:rsid w:val="00574348"/>
    <w:rsid w:val="005801D3"/>
    <w:rsid w:val="00583905"/>
    <w:rsid w:val="00585B16"/>
    <w:rsid w:val="00586465"/>
    <w:rsid w:val="00590023"/>
    <w:rsid w:val="00594B54"/>
    <w:rsid w:val="0059557D"/>
    <w:rsid w:val="005964E4"/>
    <w:rsid w:val="00596A25"/>
    <w:rsid w:val="00597C9E"/>
    <w:rsid w:val="005A04AB"/>
    <w:rsid w:val="005A09F0"/>
    <w:rsid w:val="005A0F2A"/>
    <w:rsid w:val="005A14F1"/>
    <w:rsid w:val="005A1C85"/>
    <w:rsid w:val="005A50B4"/>
    <w:rsid w:val="005B3CAC"/>
    <w:rsid w:val="005C1279"/>
    <w:rsid w:val="005C3D3D"/>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23CE"/>
    <w:rsid w:val="005E5410"/>
    <w:rsid w:val="005E59B9"/>
    <w:rsid w:val="005E59D8"/>
    <w:rsid w:val="005E617D"/>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3B3D"/>
    <w:rsid w:val="00614462"/>
    <w:rsid w:val="0061650C"/>
    <w:rsid w:val="00617172"/>
    <w:rsid w:val="006175A0"/>
    <w:rsid w:val="00617926"/>
    <w:rsid w:val="00620C21"/>
    <w:rsid w:val="00620C80"/>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3899"/>
    <w:rsid w:val="00654178"/>
    <w:rsid w:val="0066196E"/>
    <w:rsid w:val="00661B09"/>
    <w:rsid w:val="00661CFD"/>
    <w:rsid w:val="00664147"/>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634"/>
    <w:rsid w:val="006C388F"/>
    <w:rsid w:val="006C4E24"/>
    <w:rsid w:val="006C60BB"/>
    <w:rsid w:val="006C6ACE"/>
    <w:rsid w:val="006C74FF"/>
    <w:rsid w:val="006D3FD0"/>
    <w:rsid w:val="006D46B5"/>
    <w:rsid w:val="006E1A7C"/>
    <w:rsid w:val="006E1D64"/>
    <w:rsid w:val="006E2352"/>
    <w:rsid w:val="006E4F64"/>
    <w:rsid w:val="006E5BCE"/>
    <w:rsid w:val="006E6577"/>
    <w:rsid w:val="006E6868"/>
    <w:rsid w:val="006E7C54"/>
    <w:rsid w:val="006E7F66"/>
    <w:rsid w:val="006F030D"/>
    <w:rsid w:val="006F1D3A"/>
    <w:rsid w:val="006F2C16"/>
    <w:rsid w:val="006F3A5A"/>
    <w:rsid w:val="006F4941"/>
    <w:rsid w:val="006F4D66"/>
    <w:rsid w:val="006F563A"/>
    <w:rsid w:val="006F5CCF"/>
    <w:rsid w:val="006F6335"/>
    <w:rsid w:val="006F73CF"/>
    <w:rsid w:val="006F7C37"/>
    <w:rsid w:val="0070104D"/>
    <w:rsid w:val="0070263B"/>
    <w:rsid w:val="00704881"/>
    <w:rsid w:val="00705286"/>
    <w:rsid w:val="00706CB9"/>
    <w:rsid w:val="0070788F"/>
    <w:rsid w:val="00707FFC"/>
    <w:rsid w:val="007123BB"/>
    <w:rsid w:val="00712BF6"/>
    <w:rsid w:val="00712C12"/>
    <w:rsid w:val="007138CB"/>
    <w:rsid w:val="00713CDE"/>
    <w:rsid w:val="00714D3D"/>
    <w:rsid w:val="0071657A"/>
    <w:rsid w:val="007174F8"/>
    <w:rsid w:val="00720003"/>
    <w:rsid w:val="0072015D"/>
    <w:rsid w:val="00720FB7"/>
    <w:rsid w:val="00724558"/>
    <w:rsid w:val="007246E4"/>
    <w:rsid w:val="00725DCB"/>
    <w:rsid w:val="00726250"/>
    <w:rsid w:val="00727922"/>
    <w:rsid w:val="0073186F"/>
    <w:rsid w:val="00731B27"/>
    <w:rsid w:val="007327DA"/>
    <w:rsid w:val="00733D87"/>
    <w:rsid w:val="00735D1F"/>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D62"/>
    <w:rsid w:val="00780E10"/>
    <w:rsid w:val="007827F7"/>
    <w:rsid w:val="007842C7"/>
    <w:rsid w:val="007853D1"/>
    <w:rsid w:val="00787C3D"/>
    <w:rsid w:val="007927C1"/>
    <w:rsid w:val="00793EA4"/>
    <w:rsid w:val="007944C3"/>
    <w:rsid w:val="0079701B"/>
    <w:rsid w:val="00797969"/>
    <w:rsid w:val="00797DCC"/>
    <w:rsid w:val="007A422E"/>
    <w:rsid w:val="007A5F3B"/>
    <w:rsid w:val="007A68E2"/>
    <w:rsid w:val="007A7270"/>
    <w:rsid w:val="007B0569"/>
    <w:rsid w:val="007B1E81"/>
    <w:rsid w:val="007B23EA"/>
    <w:rsid w:val="007B36E6"/>
    <w:rsid w:val="007B49A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7C9"/>
    <w:rsid w:val="007E542F"/>
    <w:rsid w:val="007E6D3C"/>
    <w:rsid w:val="007E74D3"/>
    <w:rsid w:val="007E75B3"/>
    <w:rsid w:val="007E7AB2"/>
    <w:rsid w:val="007F1AD8"/>
    <w:rsid w:val="007F4989"/>
    <w:rsid w:val="007F4BCE"/>
    <w:rsid w:val="007F541D"/>
    <w:rsid w:val="007F63B8"/>
    <w:rsid w:val="007F650D"/>
    <w:rsid w:val="0080221A"/>
    <w:rsid w:val="008029D6"/>
    <w:rsid w:val="00802A02"/>
    <w:rsid w:val="00802F82"/>
    <w:rsid w:val="0080396B"/>
    <w:rsid w:val="00803ADC"/>
    <w:rsid w:val="00803D35"/>
    <w:rsid w:val="008064E5"/>
    <w:rsid w:val="00811A7C"/>
    <w:rsid w:val="00813774"/>
    <w:rsid w:val="008145AA"/>
    <w:rsid w:val="008146B9"/>
    <w:rsid w:val="00814716"/>
    <w:rsid w:val="00815718"/>
    <w:rsid w:val="008159B1"/>
    <w:rsid w:val="008211B6"/>
    <w:rsid w:val="008222DF"/>
    <w:rsid w:val="008248C6"/>
    <w:rsid w:val="00825388"/>
    <w:rsid w:val="00825E45"/>
    <w:rsid w:val="0083066A"/>
    <w:rsid w:val="00831E58"/>
    <w:rsid w:val="0083554F"/>
    <w:rsid w:val="00836315"/>
    <w:rsid w:val="00837DB8"/>
    <w:rsid w:val="00844428"/>
    <w:rsid w:val="00845732"/>
    <w:rsid w:val="00846CBA"/>
    <w:rsid w:val="00851CBB"/>
    <w:rsid w:val="008536E7"/>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2"/>
    <w:rsid w:val="00872FCD"/>
    <w:rsid w:val="008731C9"/>
    <w:rsid w:val="008749A0"/>
    <w:rsid w:val="00875139"/>
    <w:rsid w:val="0087559E"/>
    <w:rsid w:val="008756B2"/>
    <w:rsid w:val="00875D1D"/>
    <w:rsid w:val="00880D92"/>
    <w:rsid w:val="00882425"/>
    <w:rsid w:val="00882780"/>
    <w:rsid w:val="008829FA"/>
    <w:rsid w:val="00882F18"/>
    <w:rsid w:val="0088344B"/>
    <w:rsid w:val="00883852"/>
    <w:rsid w:val="00887996"/>
    <w:rsid w:val="008879E9"/>
    <w:rsid w:val="00890CCD"/>
    <w:rsid w:val="008919FA"/>
    <w:rsid w:val="00894205"/>
    <w:rsid w:val="008948CA"/>
    <w:rsid w:val="0089583A"/>
    <w:rsid w:val="008966F6"/>
    <w:rsid w:val="00896FEC"/>
    <w:rsid w:val="008979C6"/>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827"/>
    <w:rsid w:val="008B7853"/>
    <w:rsid w:val="008C0DF0"/>
    <w:rsid w:val="008C1017"/>
    <w:rsid w:val="008C2395"/>
    <w:rsid w:val="008C291E"/>
    <w:rsid w:val="008C2C73"/>
    <w:rsid w:val="008C3169"/>
    <w:rsid w:val="008C3C49"/>
    <w:rsid w:val="008C3E11"/>
    <w:rsid w:val="008C77C6"/>
    <w:rsid w:val="008D0A86"/>
    <w:rsid w:val="008D2D94"/>
    <w:rsid w:val="008D552A"/>
    <w:rsid w:val="008D6EF1"/>
    <w:rsid w:val="008D7189"/>
    <w:rsid w:val="008D797C"/>
    <w:rsid w:val="008D7BA0"/>
    <w:rsid w:val="008E0FC4"/>
    <w:rsid w:val="008E1A2B"/>
    <w:rsid w:val="008E41BF"/>
    <w:rsid w:val="008E5CC2"/>
    <w:rsid w:val="008E790D"/>
    <w:rsid w:val="008F06B7"/>
    <w:rsid w:val="008F0904"/>
    <w:rsid w:val="008F17D9"/>
    <w:rsid w:val="008F28BE"/>
    <w:rsid w:val="008F2D71"/>
    <w:rsid w:val="008F3E4A"/>
    <w:rsid w:val="008F431A"/>
    <w:rsid w:val="008F49C7"/>
    <w:rsid w:val="008F4F09"/>
    <w:rsid w:val="008F5836"/>
    <w:rsid w:val="008F6239"/>
    <w:rsid w:val="008F68DB"/>
    <w:rsid w:val="008F6BB4"/>
    <w:rsid w:val="008F7DEB"/>
    <w:rsid w:val="009017D6"/>
    <w:rsid w:val="00902B44"/>
    <w:rsid w:val="00902D7C"/>
    <w:rsid w:val="00905CE9"/>
    <w:rsid w:val="009106F9"/>
    <w:rsid w:val="00911FD9"/>
    <w:rsid w:val="00912CC8"/>
    <w:rsid w:val="00914141"/>
    <w:rsid w:val="00914773"/>
    <w:rsid w:val="00914D97"/>
    <w:rsid w:val="00916784"/>
    <w:rsid w:val="00916934"/>
    <w:rsid w:val="00917E2E"/>
    <w:rsid w:val="009228BE"/>
    <w:rsid w:val="009229B9"/>
    <w:rsid w:val="009247D4"/>
    <w:rsid w:val="0092501E"/>
    <w:rsid w:val="0092515F"/>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992"/>
    <w:rsid w:val="00957E70"/>
    <w:rsid w:val="00962E59"/>
    <w:rsid w:val="00965D58"/>
    <w:rsid w:val="00966AFB"/>
    <w:rsid w:val="00966DAC"/>
    <w:rsid w:val="00966E9B"/>
    <w:rsid w:val="009750F0"/>
    <w:rsid w:val="00975173"/>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1B54"/>
    <w:rsid w:val="009E202C"/>
    <w:rsid w:val="009E49C0"/>
    <w:rsid w:val="009E4CBE"/>
    <w:rsid w:val="009E4FE7"/>
    <w:rsid w:val="009E6538"/>
    <w:rsid w:val="009F02C7"/>
    <w:rsid w:val="009F0573"/>
    <w:rsid w:val="009F0831"/>
    <w:rsid w:val="009F0941"/>
    <w:rsid w:val="009F116B"/>
    <w:rsid w:val="009F1522"/>
    <w:rsid w:val="009F1E5D"/>
    <w:rsid w:val="009F2C05"/>
    <w:rsid w:val="009F31B9"/>
    <w:rsid w:val="009F43FF"/>
    <w:rsid w:val="009F6253"/>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7985"/>
    <w:rsid w:val="00A6798F"/>
    <w:rsid w:val="00A67F59"/>
    <w:rsid w:val="00A717D1"/>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5707"/>
    <w:rsid w:val="00A96690"/>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870"/>
    <w:rsid w:val="00AC5988"/>
    <w:rsid w:val="00AC78CA"/>
    <w:rsid w:val="00AC7A82"/>
    <w:rsid w:val="00AD1373"/>
    <w:rsid w:val="00AD2B85"/>
    <w:rsid w:val="00AD4F39"/>
    <w:rsid w:val="00AD5D3B"/>
    <w:rsid w:val="00AD6456"/>
    <w:rsid w:val="00AD6588"/>
    <w:rsid w:val="00AE18A0"/>
    <w:rsid w:val="00AE376A"/>
    <w:rsid w:val="00AE3E63"/>
    <w:rsid w:val="00AE4566"/>
    <w:rsid w:val="00AE47C3"/>
    <w:rsid w:val="00AF0048"/>
    <w:rsid w:val="00AF1DBD"/>
    <w:rsid w:val="00AF258A"/>
    <w:rsid w:val="00AF2B58"/>
    <w:rsid w:val="00AF31F2"/>
    <w:rsid w:val="00AF3ECB"/>
    <w:rsid w:val="00AF452D"/>
    <w:rsid w:val="00AF4D77"/>
    <w:rsid w:val="00AF5010"/>
    <w:rsid w:val="00AF60AE"/>
    <w:rsid w:val="00AF6DBB"/>
    <w:rsid w:val="00AF6F5A"/>
    <w:rsid w:val="00B04399"/>
    <w:rsid w:val="00B050D3"/>
    <w:rsid w:val="00B05ACB"/>
    <w:rsid w:val="00B05B25"/>
    <w:rsid w:val="00B06F5E"/>
    <w:rsid w:val="00B11E41"/>
    <w:rsid w:val="00B13078"/>
    <w:rsid w:val="00B130F2"/>
    <w:rsid w:val="00B13253"/>
    <w:rsid w:val="00B134BF"/>
    <w:rsid w:val="00B1538B"/>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2131"/>
    <w:rsid w:val="00B430D4"/>
    <w:rsid w:val="00B44D65"/>
    <w:rsid w:val="00B465C6"/>
    <w:rsid w:val="00B4703A"/>
    <w:rsid w:val="00B50A51"/>
    <w:rsid w:val="00B5299C"/>
    <w:rsid w:val="00B548F0"/>
    <w:rsid w:val="00B55C47"/>
    <w:rsid w:val="00B5766A"/>
    <w:rsid w:val="00B57FE5"/>
    <w:rsid w:val="00B60110"/>
    <w:rsid w:val="00B61206"/>
    <w:rsid w:val="00B618F7"/>
    <w:rsid w:val="00B6395C"/>
    <w:rsid w:val="00B63D5D"/>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2145"/>
    <w:rsid w:val="00B92991"/>
    <w:rsid w:val="00B92F4B"/>
    <w:rsid w:val="00B96064"/>
    <w:rsid w:val="00B9692F"/>
    <w:rsid w:val="00B97561"/>
    <w:rsid w:val="00B97827"/>
    <w:rsid w:val="00BA1072"/>
    <w:rsid w:val="00BA2624"/>
    <w:rsid w:val="00BA74A9"/>
    <w:rsid w:val="00BB0FAA"/>
    <w:rsid w:val="00BB1E78"/>
    <w:rsid w:val="00BB25B8"/>
    <w:rsid w:val="00BB2E34"/>
    <w:rsid w:val="00BB2F5E"/>
    <w:rsid w:val="00BB4D5B"/>
    <w:rsid w:val="00BB567F"/>
    <w:rsid w:val="00BB601B"/>
    <w:rsid w:val="00BB61DB"/>
    <w:rsid w:val="00BB6A2C"/>
    <w:rsid w:val="00BB6A4C"/>
    <w:rsid w:val="00BC0823"/>
    <w:rsid w:val="00BC0850"/>
    <w:rsid w:val="00BC08FC"/>
    <w:rsid w:val="00BC4428"/>
    <w:rsid w:val="00BC4923"/>
    <w:rsid w:val="00BC6E8D"/>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935"/>
    <w:rsid w:val="00BF268B"/>
    <w:rsid w:val="00BF3FA7"/>
    <w:rsid w:val="00BF719F"/>
    <w:rsid w:val="00BF7A2F"/>
    <w:rsid w:val="00C0043D"/>
    <w:rsid w:val="00C006B0"/>
    <w:rsid w:val="00C0127E"/>
    <w:rsid w:val="00C02E85"/>
    <w:rsid w:val="00C04CEB"/>
    <w:rsid w:val="00C074A2"/>
    <w:rsid w:val="00C12EA5"/>
    <w:rsid w:val="00C142E1"/>
    <w:rsid w:val="00C14F5D"/>
    <w:rsid w:val="00C15952"/>
    <w:rsid w:val="00C17423"/>
    <w:rsid w:val="00C22320"/>
    <w:rsid w:val="00C22756"/>
    <w:rsid w:val="00C24153"/>
    <w:rsid w:val="00C248FB"/>
    <w:rsid w:val="00C25111"/>
    <w:rsid w:val="00C253B8"/>
    <w:rsid w:val="00C27A92"/>
    <w:rsid w:val="00C301A2"/>
    <w:rsid w:val="00C3037E"/>
    <w:rsid w:val="00C30491"/>
    <w:rsid w:val="00C30A23"/>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70448"/>
    <w:rsid w:val="00C71785"/>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94068"/>
    <w:rsid w:val="00C94B58"/>
    <w:rsid w:val="00C97B69"/>
    <w:rsid w:val="00CA1045"/>
    <w:rsid w:val="00CA152B"/>
    <w:rsid w:val="00CA2954"/>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2841"/>
    <w:rsid w:val="00D04E43"/>
    <w:rsid w:val="00D04FCA"/>
    <w:rsid w:val="00D05BE4"/>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3797F"/>
    <w:rsid w:val="00D4043B"/>
    <w:rsid w:val="00D40E48"/>
    <w:rsid w:val="00D424E3"/>
    <w:rsid w:val="00D42662"/>
    <w:rsid w:val="00D42AF3"/>
    <w:rsid w:val="00D444AE"/>
    <w:rsid w:val="00D45BF1"/>
    <w:rsid w:val="00D4657F"/>
    <w:rsid w:val="00D50ABC"/>
    <w:rsid w:val="00D512B6"/>
    <w:rsid w:val="00D52C2F"/>
    <w:rsid w:val="00D542C5"/>
    <w:rsid w:val="00D56A4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5EC"/>
    <w:rsid w:val="00D97826"/>
    <w:rsid w:val="00DA1520"/>
    <w:rsid w:val="00DA326D"/>
    <w:rsid w:val="00DA4015"/>
    <w:rsid w:val="00DA613F"/>
    <w:rsid w:val="00DB0C18"/>
    <w:rsid w:val="00DB1476"/>
    <w:rsid w:val="00DB18A0"/>
    <w:rsid w:val="00DB39C5"/>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5E93"/>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2DC7"/>
    <w:rsid w:val="00E03811"/>
    <w:rsid w:val="00E03F84"/>
    <w:rsid w:val="00E053C0"/>
    <w:rsid w:val="00E065D7"/>
    <w:rsid w:val="00E07258"/>
    <w:rsid w:val="00E10AF0"/>
    <w:rsid w:val="00E10B00"/>
    <w:rsid w:val="00E11816"/>
    <w:rsid w:val="00E11FB8"/>
    <w:rsid w:val="00E13759"/>
    <w:rsid w:val="00E13D12"/>
    <w:rsid w:val="00E1521A"/>
    <w:rsid w:val="00E15476"/>
    <w:rsid w:val="00E15A28"/>
    <w:rsid w:val="00E15AC0"/>
    <w:rsid w:val="00E15E59"/>
    <w:rsid w:val="00E16ADA"/>
    <w:rsid w:val="00E173CA"/>
    <w:rsid w:val="00E17716"/>
    <w:rsid w:val="00E2017F"/>
    <w:rsid w:val="00E201E7"/>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BAD"/>
    <w:rsid w:val="00E52860"/>
    <w:rsid w:val="00E52D1B"/>
    <w:rsid w:val="00E5457D"/>
    <w:rsid w:val="00E56502"/>
    <w:rsid w:val="00E5677E"/>
    <w:rsid w:val="00E617F3"/>
    <w:rsid w:val="00E61903"/>
    <w:rsid w:val="00E644F2"/>
    <w:rsid w:val="00E64F01"/>
    <w:rsid w:val="00E66596"/>
    <w:rsid w:val="00E67A6F"/>
    <w:rsid w:val="00E67B86"/>
    <w:rsid w:val="00E70BA0"/>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76CE"/>
    <w:rsid w:val="00EA7C9B"/>
    <w:rsid w:val="00EB0018"/>
    <w:rsid w:val="00EB21DE"/>
    <w:rsid w:val="00EB4866"/>
    <w:rsid w:val="00EB7838"/>
    <w:rsid w:val="00EB7CDF"/>
    <w:rsid w:val="00EC04F5"/>
    <w:rsid w:val="00EC0C9D"/>
    <w:rsid w:val="00EC1757"/>
    <w:rsid w:val="00EC1FEE"/>
    <w:rsid w:val="00EC5ADF"/>
    <w:rsid w:val="00EC5F39"/>
    <w:rsid w:val="00ED0A8A"/>
    <w:rsid w:val="00ED15C0"/>
    <w:rsid w:val="00ED3FEF"/>
    <w:rsid w:val="00ED533B"/>
    <w:rsid w:val="00ED5850"/>
    <w:rsid w:val="00ED5892"/>
    <w:rsid w:val="00ED597E"/>
    <w:rsid w:val="00EE0AC3"/>
    <w:rsid w:val="00EE0D98"/>
    <w:rsid w:val="00EE17A9"/>
    <w:rsid w:val="00EE17D7"/>
    <w:rsid w:val="00EE33CE"/>
    <w:rsid w:val="00EE42C5"/>
    <w:rsid w:val="00EE4801"/>
    <w:rsid w:val="00EE4815"/>
    <w:rsid w:val="00EE49E6"/>
    <w:rsid w:val="00EE4A62"/>
    <w:rsid w:val="00EE51FD"/>
    <w:rsid w:val="00EE555F"/>
    <w:rsid w:val="00EE6715"/>
    <w:rsid w:val="00EE6EEE"/>
    <w:rsid w:val="00EE769F"/>
    <w:rsid w:val="00EF0415"/>
    <w:rsid w:val="00EF0BCA"/>
    <w:rsid w:val="00EF1BF6"/>
    <w:rsid w:val="00EF3DA7"/>
    <w:rsid w:val="00EF3EB5"/>
    <w:rsid w:val="00EF529E"/>
    <w:rsid w:val="00EF58A1"/>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222B3"/>
    <w:rsid w:val="00F22DB8"/>
    <w:rsid w:val="00F2354A"/>
    <w:rsid w:val="00F23C22"/>
    <w:rsid w:val="00F24631"/>
    <w:rsid w:val="00F2495A"/>
    <w:rsid w:val="00F254A4"/>
    <w:rsid w:val="00F30860"/>
    <w:rsid w:val="00F3232D"/>
    <w:rsid w:val="00F32C78"/>
    <w:rsid w:val="00F336EA"/>
    <w:rsid w:val="00F37787"/>
    <w:rsid w:val="00F409F0"/>
    <w:rsid w:val="00F40D01"/>
    <w:rsid w:val="00F410D4"/>
    <w:rsid w:val="00F422D9"/>
    <w:rsid w:val="00F438AA"/>
    <w:rsid w:val="00F44A2C"/>
    <w:rsid w:val="00F4741C"/>
    <w:rsid w:val="00F50F3C"/>
    <w:rsid w:val="00F51556"/>
    <w:rsid w:val="00F51DFF"/>
    <w:rsid w:val="00F54C48"/>
    <w:rsid w:val="00F554AC"/>
    <w:rsid w:val="00F56AA6"/>
    <w:rsid w:val="00F611E0"/>
    <w:rsid w:val="00F619BC"/>
    <w:rsid w:val="00F622F9"/>
    <w:rsid w:val="00F649E2"/>
    <w:rsid w:val="00F65070"/>
    <w:rsid w:val="00F651F2"/>
    <w:rsid w:val="00F667D6"/>
    <w:rsid w:val="00F678D1"/>
    <w:rsid w:val="00F71811"/>
    <w:rsid w:val="00F74627"/>
    <w:rsid w:val="00F747A8"/>
    <w:rsid w:val="00F74F91"/>
    <w:rsid w:val="00F7720E"/>
    <w:rsid w:val="00F81859"/>
    <w:rsid w:val="00F85F78"/>
    <w:rsid w:val="00F86B37"/>
    <w:rsid w:val="00F90336"/>
    <w:rsid w:val="00F91D88"/>
    <w:rsid w:val="00F92924"/>
    <w:rsid w:val="00F929E1"/>
    <w:rsid w:val="00F92DD8"/>
    <w:rsid w:val="00F957A4"/>
    <w:rsid w:val="00F95D29"/>
    <w:rsid w:val="00F97BFF"/>
    <w:rsid w:val="00F97E17"/>
    <w:rsid w:val="00FA0367"/>
    <w:rsid w:val="00FA124E"/>
    <w:rsid w:val="00FA1560"/>
    <w:rsid w:val="00FA2E31"/>
    <w:rsid w:val="00FA45A3"/>
    <w:rsid w:val="00FA6753"/>
    <w:rsid w:val="00FA6B8A"/>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3CA1"/>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EB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1891"/>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C5363"/>
    <w:pPr>
      <w:spacing w:line="240" w:lineRule="auto"/>
      <w:jc w:val="center"/>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Normal"/>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leGridLight">
    <w:name w:val="Grid Table Light"/>
    <w:basedOn w:val="TableNormal"/>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DefaultParagraphFont"/>
    <w:link w:val="tdoc-header"/>
    <w:locked/>
    <w:rsid w:val="006731CE"/>
    <w:rPr>
      <w:rFonts w:ascii="MS PGothic" w:eastAsia="MS PGothic" w:hAnsi="MS PGothic"/>
    </w:rPr>
  </w:style>
  <w:style w:type="paragraph" w:customStyle="1" w:styleId="tdoc-header">
    <w:name w:val="tdoc-header"/>
    <w:basedOn w:val="Normal"/>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PlainTable1">
    <w:name w:val="Plain Table 1"/>
    <w:basedOn w:val="TableNormal"/>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DefaultParagraphFon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NoSpacing">
    <w:name w:val="No Spacing"/>
    <w:basedOn w:val="Normal"/>
    <w:link w:val="NoSpacingChar"/>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B97561"/>
    <w:rPr>
      <w:rFonts w:asciiTheme="minorHAnsi" w:eastAsiaTheme="minorEastAsia" w:hAnsiTheme="minorHAnsi" w:cstheme="minorBidi"/>
      <w:lang w:val="en-US" w:eastAsia="zh-CN"/>
    </w:rPr>
  </w:style>
  <w:style w:type="paragraph" w:styleId="Revision">
    <w:name w:val="Revision"/>
    <w:hidden/>
    <w:uiPriority w:val="99"/>
    <w:semiHidden/>
    <w:rsid w:val="004E31A8"/>
    <w:rPr>
      <w:rFonts w:ascii="Arial" w:hAnsi="Arial" w:cs="Arial"/>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E1B54"/>
    <w:rPr>
      <w:rFonts w:ascii="Arial" w:eastAsia="Calibri" w:hAnsi="Arial"/>
      <w:b/>
      <w:bCs/>
      <w:sz w:val="18"/>
      <w:szCs w:val="18"/>
      <w:lang w:val="en-US" w:eastAsia="en-US"/>
    </w:rPr>
  </w:style>
  <w:style w:type="table" w:styleId="GridTable5Dark-Accent3">
    <w:name w:val="Grid Table 5 Dark Accent 3"/>
    <w:basedOn w:val="TableNormal"/>
    <w:uiPriority w:val="50"/>
    <w:rsid w:val="009E1B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TableofFigures">
    <w:name w:val="table of figures"/>
    <w:basedOn w:val="Normal"/>
    <w:next w:val="Normal"/>
    <w:uiPriority w:val="99"/>
    <w:unhideWhenUsed/>
    <w:rsid w:val="00305ADB"/>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18463-0C44-4B7B-ABB6-1F9263340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1009</Words>
  <Characters>5554</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6550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2024-02-16T10:07:00Z</dcterms:created>
  <dcterms:modified xsi:type="dcterms:W3CDTF">2024-02-16T10:08:00Z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